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AB1DAA5"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767AA6">
        <w:rPr>
          <w:sz w:val="22"/>
          <w:szCs w:val="22"/>
        </w:rPr>
        <w:t>Тагл</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0C2B2A44"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767AA6">
        <w:rPr>
          <w:b/>
          <w:sz w:val="22"/>
          <w:szCs w:val="22"/>
        </w:rPr>
        <w:t>Тагл</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767AA6">
        <w:rPr>
          <w:color w:val="000000"/>
          <w:sz w:val="22"/>
          <w:szCs w:val="22"/>
        </w:rPr>
        <w:t>1207700186066</w:t>
      </w:r>
      <w:r w:rsidR="00767AA6">
        <w:rPr>
          <w:sz w:val="22"/>
          <w:szCs w:val="22"/>
        </w:rPr>
        <w:t>, ИНН 9721098990</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7D0CC6">
        <w:rPr>
          <w:sz w:val="22"/>
          <w:szCs w:val="22"/>
        </w:rPr>
        <w:t xml:space="preserve"> _____________________</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4156AEB" w14:textId="4AF414DF" w:rsidR="000815EA" w:rsidRPr="00255549" w:rsidRDefault="007D0CC6" w:rsidP="004643FA">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w:t>
      </w:r>
      <w:r w:rsidR="000815EA" w:rsidRPr="005A58CF">
        <w:rPr>
          <w:sz w:val="22"/>
          <w:szCs w:val="22"/>
        </w:rPr>
        <w:lastRenderedPageBreak/>
        <w:t xml:space="preserve">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t>возобновля</w:t>
      </w:r>
      <w:r w:rsidR="00CE278B">
        <w:rPr>
          <w:color w:val="000000"/>
          <w:sz w:val="22"/>
          <w:szCs w:val="22"/>
        </w:rPr>
        <w:t xml:space="preserve">емой кредитной линии № 30/К/0624 от 10 ноября </w:t>
      </w:r>
      <w:r w:rsidR="00CE278B" w:rsidRPr="00680D70">
        <w:rPr>
          <w:color w:val="000000"/>
          <w:sz w:val="22"/>
          <w:szCs w:val="22"/>
        </w:rPr>
        <w:t>202</w:t>
      </w:r>
      <w:r w:rsidR="000A191D" w:rsidRPr="00680D70">
        <w:rPr>
          <w:color w:val="000000"/>
          <w:sz w:val="22"/>
          <w:szCs w:val="22"/>
        </w:rPr>
        <w:t>1</w:t>
      </w:r>
      <w:r w:rsidR="00CE278B" w:rsidRPr="005A58CF">
        <w:rPr>
          <w:color w:val="000000"/>
          <w:sz w:val="22"/>
          <w:szCs w:val="22"/>
        </w:rPr>
        <w:t xml:space="preserve"> года</w:t>
      </w:r>
      <w:r w:rsidR="00CE278B" w:rsidRPr="005A58CF">
        <w:rPr>
          <w:sz w:val="22"/>
          <w:szCs w:val="22"/>
        </w:rPr>
        <w:t xml:space="preserve">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CE278B">
        <w:rPr>
          <w:sz w:val="22"/>
          <w:szCs w:val="22"/>
        </w:rPr>
        <w:t xml:space="preserve"> </w:t>
      </w:r>
      <w:r w:rsidR="000815EA" w:rsidRPr="00242475">
        <w:rPr>
          <w:sz w:val="22"/>
          <w:szCs w:val="22"/>
        </w:rPr>
        <w:t>(далее по тексту – «</w:t>
      </w:r>
      <w:r w:rsidR="002248E0">
        <w:rPr>
          <w:b/>
          <w:sz w:val="22"/>
          <w:szCs w:val="22"/>
        </w:rPr>
        <w:t>ДУПТ</w:t>
      </w:r>
      <w:r w:rsidR="004643FA">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0E670016" w:rsidR="00793114" w:rsidRPr="00255549" w:rsidRDefault="00712BBE" w:rsidP="00DB140A">
      <w:pPr>
        <w:numPr>
          <w:ilvl w:val="1"/>
          <w:numId w:val="2"/>
        </w:numPr>
        <w:pBdr>
          <w:top w:val="nil"/>
          <w:left w:val="nil"/>
          <w:bottom w:val="nil"/>
          <w:right w:val="nil"/>
          <w:between w:val="nil"/>
        </w:pBdr>
        <w:tabs>
          <w:tab w:val="left" w:pos="1843"/>
        </w:tabs>
        <w:ind w:left="709" w:firstLine="709"/>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w:t>
      </w:r>
      <w:r w:rsidR="008A6B79" w:rsidRPr="00254961">
        <w:rPr>
          <w:sz w:val="22"/>
          <w:szCs w:val="22"/>
          <w:highlight w:val="yellow"/>
        </w:rPr>
        <w:t xml:space="preserve">на сайте ЭТП </w:t>
      </w:r>
      <w:r w:rsidR="00DB140A" w:rsidRPr="00DB140A">
        <w:rPr>
          <w:sz w:val="22"/>
          <w:szCs w:val="22"/>
          <w:highlight w:val="yellow"/>
        </w:rPr>
        <w:t>ООО «Аукционы Федерации»</w:t>
      </w:r>
      <w:r w:rsidR="00DB140A" w:rsidRPr="00DB140A">
        <w:rPr>
          <w:sz w:val="22"/>
          <w:szCs w:val="22"/>
        </w:rPr>
        <w:t xml:space="preserve"> </w:t>
      </w:r>
      <w:r w:rsidR="00254961" w:rsidRPr="00254961">
        <w:rPr>
          <w:highlight w:val="yellow"/>
        </w:rPr>
        <w:t>https://alfalot.ru/</w:t>
      </w:r>
      <w:r w:rsidR="00F06442" w:rsidRPr="00254961">
        <w:rPr>
          <w:sz w:val="22"/>
          <w:szCs w:val="22"/>
          <w:highlight w:val="yellow"/>
        </w:rPr>
        <w:t>,</w:t>
      </w:r>
      <w:r w:rsidR="00424D47" w:rsidRPr="00254961">
        <w:rPr>
          <w:sz w:val="22"/>
          <w:szCs w:val="22"/>
          <w:highlight w:val="yellow"/>
        </w:rPr>
        <w:t xml:space="preserve"> </w:t>
      </w:r>
      <w:r w:rsidRPr="00254961">
        <w:rPr>
          <w:sz w:val="22"/>
          <w:szCs w:val="22"/>
          <w:highlight w:val="yellow"/>
        </w:rPr>
        <w:t>Продавец обязуется</w:t>
      </w:r>
      <w:r w:rsidRPr="00255549">
        <w:rPr>
          <w:sz w:val="22"/>
          <w:szCs w:val="22"/>
        </w:rPr>
        <w:t xml:space="preserve">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600F93E7"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67AA6" w:rsidRPr="00060F35">
        <w:rPr>
          <w:sz w:val="22"/>
          <w:szCs w:val="22"/>
        </w:rPr>
        <w:t>учреждении ООО «</w:t>
      </w:r>
      <w:proofErr w:type="spellStart"/>
      <w:r w:rsidR="00767AA6" w:rsidRPr="00060F35">
        <w:rPr>
          <w:sz w:val="22"/>
          <w:szCs w:val="22"/>
        </w:rPr>
        <w:t>Тагл</w:t>
      </w:r>
      <w:proofErr w:type="spellEnd"/>
      <w:r w:rsidR="00D734D0" w:rsidRPr="00060F35">
        <w:rPr>
          <w:sz w:val="22"/>
          <w:szCs w:val="22"/>
        </w:rPr>
        <w:t xml:space="preserve">» </w:t>
      </w:r>
      <w:r w:rsidR="00060F35" w:rsidRPr="00060F35">
        <w:rPr>
          <w:sz w:val="22"/>
          <w:szCs w:val="22"/>
        </w:rPr>
        <w:t>от 28.04.2020</w:t>
      </w:r>
      <w:r w:rsidR="005A58CF" w:rsidRPr="00060F35">
        <w:rPr>
          <w:sz w:val="22"/>
          <w:szCs w:val="22"/>
        </w:rPr>
        <w:t>.</w:t>
      </w:r>
    </w:p>
    <w:p w14:paraId="503B3D18" w14:textId="1DC169B4" w:rsidR="00793114" w:rsidRPr="00060F35"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Номинальная стоимость Доли </w:t>
      </w:r>
      <w:r w:rsidR="00A81EE3" w:rsidRPr="00060F35">
        <w:rPr>
          <w:sz w:val="22"/>
          <w:szCs w:val="22"/>
        </w:rPr>
        <w:t xml:space="preserve">на дату заключения Договора </w:t>
      </w:r>
      <w:r w:rsidRPr="00060F35">
        <w:rPr>
          <w:sz w:val="22"/>
          <w:szCs w:val="22"/>
        </w:rPr>
        <w:t xml:space="preserve">составляет </w:t>
      </w:r>
      <w:r w:rsidR="00F617E1" w:rsidRPr="00060F35">
        <w:rPr>
          <w:sz w:val="22"/>
          <w:szCs w:val="22"/>
        </w:rPr>
        <w:t>1</w:t>
      </w:r>
      <w:r w:rsidR="005A58CF" w:rsidRPr="00060F35">
        <w:rPr>
          <w:sz w:val="22"/>
          <w:szCs w:val="22"/>
        </w:rPr>
        <w:t xml:space="preserve"> </w:t>
      </w:r>
      <w:r w:rsidR="00F617E1" w:rsidRPr="00060F35">
        <w:rPr>
          <w:sz w:val="22"/>
          <w:szCs w:val="22"/>
        </w:rPr>
        <w:t>00</w:t>
      </w:r>
      <w:r w:rsidR="005A58CF" w:rsidRPr="00060F35">
        <w:rPr>
          <w:sz w:val="22"/>
          <w:szCs w:val="22"/>
        </w:rPr>
        <w:t>0</w:t>
      </w:r>
      <w:r w:rsidR="00F617E1" w:rsidRPr="00060F35">
        <w:rPr>
          <w:sz w:val="22"/>
          <w:szCs w:val="22"/>
        </w:rPr>
        <w:t xml:space="preserve"> 000</w:t>
      </w:r>
      <w:r w:rsidR="008F1073" w:rsidRPr="00060F35">
        <w:rPr>
          <w:sz w:val="22"/>
          <w:szCs w:val="22"/>
        </w:rPr>
        <w:t xml:space="preserve"> (</w:t>
      </w:r>
      <w:r w:rsidR="005A58CF" w:rsidRPr="00060F35">
        <w:rPr>
          <w:sz w:val="22"/>
          <w:szCs w:val="22"/>
        </w:rPr>
        <w:t>Один миллион</w:t>
      </w:r>
      <w:r w:rsidR="008F1073" w:rsidRPr="00060F35">
        <w:rPr>
          <w:sz w:val="22"/>
          <w:szCs w:val="22"/>
        </w:rPr>
        <w:t xml:space="preserve">) </w:t>
      </w:r>
      <w:r w:rsidR="00F617E1" w:rsidRPr="00060F35">
        <w:rPr>
          <w:sz w:val="22"/>
          <w:szCs w:val="22"/>
        </w:rPr>
        <w:t xml:space="preserve">рублей 00 </w:t>
      </w:r>
      <w:r w:rsidRPr="00060F35">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752E49E0"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9074B1">
        <w:rPr>
          <w:sz w:val="22"/>
          <w:szCs w:val="22"/>
        </w:rPr>
        <w:t>:</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060F35">
        <w:trPr>
          <w:trHeight w:val="566"/>
        </w:trPr>
        <w:tc>
          <w:tcPr>
            <w:tcW w:w="2811" w:type="dxa"/>
            <w:shd w:val="clear" w:color="auto" w:fill="auto"/>
          </w:tcPr>
          <w:p w14:paraId="0455F61D" w14:textId="77777777" w:rsidR="008A6B79" w:rsidRPr="00773814" w:rsidRDefault="008A6B79" w:rsidP="005E5D44">
            <w:pPr>
              <w:jc w:val="right"/>
              <w:rPr>
                <w:i/>
                <w:color w:val="FF0000"/>
                <w:sz w:val="22"/>
                <w:szCs w:val="22"/>
              </w:rPr>
            </w:pPr>
            <w:r w:rsidRPr="00773814">
              <w:rPr>
                <w:i/>
                <w:color w:val="FF0000"/>
                <w:sz w:val="22"/>
                <w:szCs w:val="22"/>
              </w:rPr>
              <w:t xml:space="preserve">Вариант 1 </w:t>
            </w:r>
          </w:p>
          <w:p w14:paraId="70CF6FC7" w14:textId="0BD50319" w:rsidR="008A6B79" w:rsidRPr="00773814" w:rsidRDefault="008A6B79" w:rsidP="005E5D44">
            <w:pPr>
              <w:jc w:val="right"/>
              <w:rPr>
                <w:i/>
                <w:color w:val="FF0000"/>
                <w:sz w:val="22"/>
                <w:szCs w:val="22"/>
              </w:rPr>
            </w:pPr>
            <w:r w:rsidRPr="00773814">
              <w:rPr>
                <w:i/>
                <w:color w:val="FF0000"/>
                <w:sz w:val="22"/>
                <w:szCs w:val="22"/>
              </w:rPr>
              <w:t>для оплаты</w:t>
            </w:r>
            <w:r w:rsidR="002824AB">
              <w:rPr>
                <w:i/>
                <w:color w:val="FF0000"/>
                <w:sz w:val="22"/>
                <w:szCs w:val="22"/>
              </w:rPr>
              <w:t xml:space="preserve"> без использования аккредитива</w:t>
            </w:r>
          </w:p>
        </w:tc>
        <w:tc>
          <w:tcPr>
            <w:tcW w:w="6544" w:type="dxa"/>
            <w:shd w:val="clear" w:color="auto" w:fill="auto"/>
          </w:tcPr>
          <w:p w14:paraId="61001CCD" w14:textId="05FD4657" w:rsidR="008A6B79" w:rsidRPr="00773814" w:rsidRDefault="00570A20" w:rsidP="00BA291E">
            <w:pPr>
              <w:adjustRightInd w:val="0"/>
              <w:jc w:val="both"/>
              <w:rPr>
                <w:color w:val="4F81BD" w:themeColor="accent1"/>
                <w:sz w:val="22"/>
                <w:szCs w:val="22"/>
              </w:rPr>
            </w:pPr>
            <w:r w:rsidRPr="00773814">
              <w:rPr>
                <w:sz w:val="22"/>
                <w:szCs w:val="22"/>
              </w:rPr>
              <w:t>В течение 5 (Пяти</w:t>
            </w:r>
            <w:r w:rsidR="008A6B79" w:rsidRPr="00773814">
              <w:rPr>
                <w:sz w:val="22"/>
                <w:szCs w:val="22"/>
              </w:rPr>
              <w:t xml:space="preserve">) рабочих дней с даты </w:t>
            </w:r>
            <w:r w:rsidR="002824AB">
              <w:rPr>
                <w:sz w:val="22"/>
                <w:szCs w:val="22"/>
              </w:rPr>
              <w:t>выполнения отлагательного условия, предусмотренного п.2.1</w:t>
            </w:r>
            <w:r w:rsidR="00F92AD7">
              <w:rPr>
                <w:sz w:val="22"/>
                <w:szCs w:val="22"/>
              </w:rPr>
              <w:t>2</w:t>
            </w:r>
            <w:r w:rsidR="002824AB">
              <w:rPr>
                <w:sz w:val="22"/>
                <w:szCs w:val="22"/>
              </w:rPr>
              <w:t xml:space="preserve"> Договора,</w:t>
            </w:r>
            <w:r w:rsidR="008A6B79" w:rsidRPr="00773814">
              <w:rPr>
                <w:sz w:val="22"/>
                <w:szCs w:val="22"/>
              </w:rPr>
              <w:t xml:space="preserve"> путем перечисления Покупателем на счет Продавца, указанный в разделе </w:t>
            </w:r>
            <w:r w:rsidR="00BA291E" w:rsidRPr="00773814">
              <w:rPr>
                <w:sz w:val="22"/>
                <w:szCs w:val="22"/>
              </w:rPr>
              <w:t>9</w:t>
            </w:r>
            <w:r w:rsidR="008A6B79" w:rsidRPr="00773814">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060F35">
        <w:trPr>
          <w:trHeight w:val="699"/>
        </w:trPr>
        <w:tc>
          <w:tcPr>
            <w:tcW w:w="2811" w:type="dxa"/>
            <w:shd w:val="clear" w:color="auto" w:fill="auto"/>
          </w:tcPr>
          <w:p w14:paraId="177CA525" w14:textId="77777777" w:rsidR="008A6B79" w:rsidRPr="00773814" w:rsidRDefault="008A6B79" w:rsidP="005E5D44">
            <w:pPr>
              <w:jc w:val="right"/>
              <w:rPr>
                <w:i/>
                <w:color w:val="FF0000"/>
                <w:sz w:val="22"/>
                <w:szCs w:val="22"/>
              </w:rPr>
            </w:pPr>
            <w:r w:rsidRPr="00773814">
              <w:rPr>
                <w:i/>
                <w:color w:val="FF0000"/>
                <w:sz w:val="22"/>
                <w:szCs w:val="22"/>
              </w:rPr>
              <w:t xml:space="preserve">Вариант 2 </w:t>
            </w:r>
          </w:p>
          <w:p w14:paraId="23D84174" w14:textId="2EB9DF60" w:rsidR="008A6B79" w:rsidRPr="00773814" w:rsidRDefault="002824AB" w:rsidP="005E5D44">
            <w:pPr>
              <w:jc w:val="right"/>
              <w:rPr>
                <w:i/>
                <w:color w:val="FF0000"/>
                <w:sz w:val="22"/>
                <w:szCs w:val="22"/>
              </w:rPr>
            </w:pPr>
            <w:r>
              <w:rPr>
                <w:i/>
                <w:color w:val="FF0000"/>
                <w:sz w:val="22"/>
                <w:szCs w:val="22"/>
              </w:rPr>
              <w:t xml:space="preserve">для оплаты </w:t>
            </w:r>
            <w:r w:rsidR="008A6B79" w:rsidRPr="00773814">
              <w:rPr>
                <w:i/>
                <w:color w:val="FF0000"/>
                <w:sz w:val="22"/>
                <w:szCs w:val="22"/>
              </w:rPr>
              <w:t>посредством аккредитива</w:t>
            </w:r>
            <w:r w:rsidR="008465F3" w:rsidRPr="00773814">
              <w:rPr>
                <w:i/>
                <w:color w:val="FF0000"/>
                <w:sz w:val="22"/>
                <w:szCs w:val="22"/>
              </w:rPr>
              <w:t xml:space="preserve"> </w:t>
            </w:r>
            <w:r w:rsidR="008A6B79" w:rsidRPr="00773814">
              <w:rPr>
                <w:i/>
                <w:color w:val="FF0000"/>
                <w:sz w:val="22"/>
                <w:szCs w:val="22"/>
              </w:rPr>
              <w:t xml:space="preserve"> </w:t>
            </w:r>
          </w:p>
        </w:tc>
        <w:tc>
          <w:tcPr>
            <w:tcW w:w="6544" w:type="dxa"/>
            <w:shd w:val="clear" w:color="auto" w:fill="auto"/>
          </w:tcPr>
          <w:p w14:paraId="05F19DC8" w14:textId="23AF2314" w:rsidR="006556D3" w:rsidRPr="00773814" w:rsidRDefault="008A6B79" w:rsidP="006556D3">
            <w:pPr>
              <w:adjustRightInd w:val="0"/>
              <w:jc w:val="both"/>
              <w:rPr>
                <w:sz w:val="22"/>
                <w:szCs w:val="22"/>
              </w:rPr>
            </w:pPr>
            <w:r w:rsidRPr="00773814">
              <w:rPr>
                <w:sz w:val="22"/>
                <w:szCs w:val="22"/>
              </w:rPr>
              <w:t xml:space="preserve">В течение 5 (Пяти) рабочих дней с даты подписания Договора Покупатель </w:t>
            </w:r>
            <w:r w:rsidR="006556D3" w:rsidRPr="00773814">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773814">
              <w:rPr>
                <w:sz w:val="22"/>
                <w:szCs w:val="22"/>
              </w:rPr>
              <w:t xml:space="preserve">в качестве покрытия </w:t>
            </w:r>
            <w:r w:rsidR="006556D3" w:rsidRPr="00773814">
              <w:rPr>
                <w:sz w:val="22"/>
                <w:szCs w:val="22"/>
              </w:rPr>
              <w:t>денежной суммы в</w:t>
            </w:r>
            <w:r w:rsidR="002824AB">
              <w:rPr>
                <w:sz w:val="22"/>
                <w:szCs w:val="22"/>
              </w:rPr>
              <w:t xml:space="preserve"> размере</w:t>
            </w:r>
            <w:r w:rsidR="006556D3" w:rsidRPr="00773814">
              <w:rPr>
                <w:sz w:val="22"/>
                <w:szCs w:val="22"/>
              </w:rPr>
              <w:t xml:space="preserve"> </w:t>
            </w:r>
            <w:r w:rsidR="002824AB" w:rsidRPr="00523487">
              <w:rPr>
                <w:bCs/>
                <w:sz w:val="22"/>
                <w:szCs w:val="22"/>
                <w:lang w:eastAsia="en-US"/>
              </w:rPr>
              <w:t>___________ (_____________) рублей</w:t>
            </w:r>
            <w:r w:rsidR="002824AB">
              <w:rPr>
                <w:bCs/>
                <w:sz w:val="22"/>
                <w:szCs w:val="22"/>
                <w:lang w:eastAsia="en-US"/>
              </w:rPr>
              <w:t xml:space="preserve"> </w:t>
            </w:r>
            <w:r w:rsidR="002824AB" w:rsidRPr="008C51DB">
              <w:rPr>
                <w:bCs/>
                <w:i/>
                <w:sz w:val="22"/>
                <w:szCs w:val="22"/>
                <w:lang w:eastAsia="en-US"/>
              </w:rPr>
              <w:t>(</w:t>
            </w:r>
            <w:r w:rsidR="002824AB" w:rsidRPr="008C51DB">
              <w:rPr>
                <w:i/>
                <w:sz w:val="22"/>
                <w:szCs w:val="22"/>
              </w:rPr>
              <w:t>покрытие на сумму, равную сумме цены ДКП доли и оставшейся Цены уступки)</w:t>
            </w:r>
            <w:r w:rsidR="008465F3" w:rsidRPr="00773814">
              <w:rPr>
                <w:sz w:val="22"/>
                <w:szCs w:val="22"/>
              </w:rPr>
              <w:t>, а также уведомить Продавца о выполнении вышеуказанных обязательств по открытию и наполнению покрытием аккредитива/аккредитивов</w:t>
            </w:r>
            <w:r w:rsidR="00153847" w:rsidRPr="00773814">
              <w:rPr>
                <w:sz w:val="22"/>
                <w:szCs w:val="22"/>
              </w:rPr>
              <w:t xml:space="preserve"> и предоставить подтверждающие документы</w:t>
            </w:r>
            <w:r w:rsidR="008465F3" w:rsidRPr="00773814">
              <w:rPr>
                <w:sz w:val="22"/>
                <w:szCs w:val="22"/>
              </w:rPr>
              <w:t>.</w:t>
            </w:r>
          </w:p>
          <w:p w14:paraId="3A53BDC8" w14:textId="07FBBEAE" w:rsidR="008A6B79" w:rsidRPr="00773814" w:rsidRDefault="008A6B79" w:rsidP="006556D3">
            <w:pPr>
              <w:adjustRightInd w:val="0"/>
              <w:jc w:val="both"/>
              <w:rPr>
                <w:sz w:val="22"/>
                <w:szCs w:val="22"/>
              </w:rPr>
            </w:pPr>
          </w:p>
        </w:tc>
      </w:tr>
    </w:tbl>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lastRenderedPageBreak/>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77777777" w:rsidR="002824AB" w:rsidRPr="005C34DC" w:rsidRDefault="002824AB" w:rsidP="002824AB">
      <w:pPr>
        <w:pStyle w:val="af"/>
        <w:ind w:left="709" w:firstLine="567"/>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7D9DE98C" w14:textId="77777777" w:rsidR="002824AB" w:rsidRPr="005C34DC" w:rsidRDefault="002824AB" w:rsidP="002824AB">
      <w:pPr>
        <w:autoSpaceDE w:val="0"/>
        <w:autoSpaceDN w:val="0"/>
        <w:adjustRightInd w:val="0"/>
        <w:ind w:left="709" w:firstLine="11"/>
        <w:jc w:val="both"/>
        <w:rPr>
          <w:rFonts w:eastAsiaTheme="minorHAnsi"/>
          <w:i/>
          <w:color w:val="000000"/>
          <w:sz w:val="22"/>
          <w:szCs w:val="22"/>
          <w:lang w:eastAsia="en-US"/>
        </w:rPr>
      </w:pPr>
      <w:r w:rsidRPr="005C34DC">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2E158876" w14:textId="77777777" w:rsidR="002824AB" w:rsidRPr="005C34DC" w:rsidRDefault="002824AB" w:rsidP="002824AB">
      <w:pPr>
        <w:autoSpaceDE w:val="0"/>
        <w:autoSpaceDN w:val="0"/>
        <w:adjustRightInd w:val="0"/>
        <w:ind w:firstLine="720"/>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w:t>
      </w:r>
    </w:p>
    <w:p w14:paraId="0B20E03A" w14:textId="10E16F4A" w:rsidR="002824AB" w:rsidRPr="005C34DC" w:rsidRDefault="002824AB" w:rsidP="002824AB">
      <w:pPr>
        <w:pStyle w:val="a7"/>
        <w:ind w:left="720"/>
        <w:jc w:val="both"/>
        <w:rPr>
          <w:sz w:val="22"/>
          <w:szCs w:val="22"/>
        </w:rPr>
      </w:pPr>
      <w:r w:rsidRPr="005C34DC">
        <w:rPr>
          <w:color w:val="000000"/>
          <w:sz w:val="22"/>
          <w:szCs w:val="22"/>
          <w:lang w:eastAsia="en-US"/>
        </w:rPr>
        <w:t xml:space="preserve">- получения Продавцом документального подтверждения исполнения Покупателем обязательств по открытию и наполнению Аккредитива в соответствии </w:t>
      </w:r>
      <w:r w:rsidRPr="00651FFD">
        <w:rPr>
          <w:color w:val="000000"/>
          <w:sz w:val="22"/>
          <w:szCs w:val="22"/>
          <w:lang w:eastAsia="en-US"/>
        </w:rPr>
        <w:t>с п. 2.</w:t>
      </w:r>
      <w:r w:rsidR="00F92AD7" w:rsidRPr="00651FFD">
        <w:rPr>
          <w:color w:val="000000"/>
          <w:sz w:val="22"/>
          <w:szCs w:val="22"/>
          <w:lang w:eastAsia="en-US"/>
        </w:rPr>
        <w:t>2</w:t>
      </w:r>
      <w:r w:rsidRPr="00651FFD">
        <w:rPr>
          <w:color w:val="000000"/>
          <w:sz w:val="22"/>
          <w:szCs w:val="22"/>
          <w:lang w:eastAsia="en-US"/>
        </w:rPr>
        <w:t>.</w:t>
      </w:r>
      <w:r w:rsidRPr="005C34DC">
        <w:rPr>
          <w:color w:val="000000"/>
          <w:sz w:val="22"/>
          <w:szCs w:val="22"/>
          <w:lang w:eastAsia="en-US"/>
        </w:rPr>
        <w:t xml:space="preserve"> настоящего Договора</w:t>
      </w:r>
    </w:p>
    <w:p w14:paraId="55C6D56D" w14:textId="5843D38A"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BC55D6" w:rsidRPr="00255549">
        <w:rPr>
          <w:sz w:val="22"/>
          <w:szCs w:val="22"/>
        </w:rPr>
        <w:t>абз</w:t>
      </w:r>
      <w:proofErr w:type="spellEnd"/>
      <w:r w:rsidR="00BC55D6"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16755E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F617E1"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00F617E1"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w:t>
      </w:r>
      <w:r w:rsidR="00FD42F6" w:rsidRPr="00255549">
        <w:rPr>
          <w:sz w:val="22"/>
          <w:szCs w:val="22"/>
        </w:rPr>
        <w:lastRenderedPageBreak/>
        <w:t>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 xml:space="preserve">Покупатель обязуется предоставить Продавцу все и </w:t>
      </w:r>
      <w:proofErr w:type="gramStart"/>
      <w:r w:rsidR="000E1DDE" w:rsidRPr="000E1DDE">
        <w:rPr>
          <w:sz w:val="22"/>
          <w:szCs w:val="22"/>
        </w:rPr>
        <w:t>любые необходимые документы</w:t>
      </w:r>
      <w:proofErr w:type="gramEnd"/>
      <w:r w:rsidR="000E1DDE" w:rsidRPr="000E1DDE">
        <w:rPr>
          <w:sz w:val="22"/>
          <w:szCs w:val="22"/>
        </w:rPr>
        <w:t xml:space="preserve">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771FF38E" w:rsidR="00157468" w:rsidRP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148DE9F8" w14:textId="425A6032" w:rsidR="00B32413" w:rsidRPr="00157468" w:rsidRDefault="00B32413" w:rsidP="00B32413">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2.16. Покупатель обязан </w:t>
      </w:r>
      <w:r w:rsidRPr="00B32413">
        <w:rPr>
          <w:sz w:val="22"/>
          <w:szCs w:val="22"/>
        </w:rPr>
        <w:t>не позднее даты перехода права собственности на Долю в уставном капитале ООО «</w:t>
      </w:r>
      <w:proofErr w:type="spellStart"/>
      <w:r w:rsidRPr="00B32413">
        <w:rPr>
          <w:sz w:val="22"/>
          <w:szCs w:val="22"/>
        </w:rPr>
        <w:t>Тагл</w:t>
      </w:r>
      <w:proofErr w:type="spellEnd"/>
      <w:r w:rsidRPr="00B32413">
        <w:rPr>
          <w:sz w:val="22"/>
          <w:szCs w:val="22"/>
        </w:rPr>
        <w:t>» принять решение единственного участника ООО «</w:t>
      </w:r>
      <w:proofErr w:type="spellStart"/>
      <w:r w:rsidRPr="00B32413">
        <w:rPr>
          <w:sz w:val="22"/>
          <w:szCs w:val="22"/>
        </w:rPr>
        <w:t>Тагл</w:t>
      </w:r>
      <w:proofErr w:type="spellEnd"/>
      <w:r w:rsidRPr="00B32413">
        <w:rPr>
          <w:sz w:val="22"/>
          <w:szCs w:val="22"/>
        </w:rPr>
        <w:t>» о прекращении полномочий ООО «ТРАСТ Недвижимость» в качестве единоличного исполнительного органа ООО «</w:t>
      </w:r>
      <w:proofErr w:type="spellStart"/>
      <w:r w:rsidRPr="00B32413">
        <w:rPr>
          <w:sz w:val="22"/>
          <w:szCs w:val="22"/>
        </w:rPr>
        <w:t>Тагл</w:t>
      </w:r>
      <w:proofErr w:type="spellEnd"/>
      <w:r w:rsidRPr="00B32413">
        <w:rPr>
          <w:sz w:val="22"/>
          <w:szCs w:val="22"/>
        </w:rPr>
        <w:t>» и назначении нового единоличного исполнительного органа, а также в течение 1 (одного) рабочего дня с даты принятия такого решения направить Продавцу его сканированную копию</w:t>
      </w:r>
      <w:r w:rsidRPr="002855EE">
        <w:rPr>
          <w:sz w:val="22"/>
          <w:szCs w:val="22"/>
        </w:rPr>
        <w:t>.</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 xml:space="preserve">Продавец обладает правоспособностью и </w:t>
      </w:r>
      <w:proofErr w:type="gramStart"/>
      <w:r w:rsidRPr="005D1CBD">
        <w:rPr>
          <w:sz w:val="22"/>
          <w:szCs w:val="22"/>
        </w:rPr>
        <w:t>вправе</w:t>
      </w:r>
      <w:r w:rsidR="00E25272" w:rsidRPr="005D1CBD">
        <w:rPr>
          <w:sz w:val="22"/>
          <w:szCs w:val="22"/>
        </w:rPr>
        <w:t xml:space="preserve"> </w:t>
      </w:r>
      <w:r w:rsidRPr="005D1CBD">
        <w:rPr>
          <w:sz w:val="22"/>
          <w:szCs w:val="22"/>
        </w:rPr>
        <w:t>заключить</w:t>
      </w:r>
      <w:proofErr w:type="gramEnd"/>
      <w:r w:rsidRPr="005D1CBD">
        <w:rPr>
          <w:sz w:val="22"/>
          <w:szCs w:val="22"/>
        </w:rPr>
        <w:t xml:space="preserve">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w:t>
      </w:r>
      <w:r w:rsidR="00B21AE1" w:rsidRPr="00B21AE1">
        <w:rPr>
          <w:sz w:val="22"/>
          <w:szCs w:val="22"/>
        </w:rPr>
        <w:lastRenderedPageBreak/>
        <w:t>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00B21AE1" w:rsidRPr="00255549">
        <w:rPr>
          <w:sz w:val="22"/>
          <w:szCs w:val="22"/>
        </w:rPr>
        <w:t>ст.ст</w:t>
      </w:r>
      <w:proofErr w:type="spellEnd"/>
      <w:r w:rsidR="00B21AE1"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415C08C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.10. </w:t>
      </w:r>
      <w:r w:rsidR="00B21AE1" w:rsidRPr="00255549">
        <w:rPr>
          <w:sz w:val="22"/>
          <w:szCs w:val="22"/>
        </w:rPr>
        <w:t xml:space="preserve">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w:t>
      </w:r>
      <w:hyperlink r:id="rId8" w:history="1">
        <w:r w:rsidR="00DB140A" w:rsidRPr="00DA03D9">
          <w:rPr>
            <w:rStyle w:val="af6"/>
            <w:sz w:val="22"/>
            <w:szCs w:val="22"/>
          </w:rPr>
          <w:t>https://alfalot.ru/</w:t>
        </w:r>
      </w:hyperlink>
      <w:r w:rsidR="00DB140A" w:rsidRPr="00DB140A">
        <w:rPr>
          <w:sz w:val="22"/>
          <w:szCs w:val="22"/>
        </w:rPr>
        <w:t xml:space="preserve"> </w:t>
      </w:r>
      <w:r w:rsidR="00B21AE1" w:rsidRPr="00255549">
        <w:rPr>
          <w:sz w:val="22"/>
          <w:szCs w:val="22"/>
        </w:rPr>
        <w:t>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w:t>
      </w:r>
      <w:bookmarkStart w:id="0" w:name="_GoBack"/>
      <w:bookmarkEnd w:id="0"/>
      <w:r w:rsidR="00B21AE1" w:rsidRPr="00255549">
        <w:rPr>
          <w:sz w:val="22"/>
          <w:szCs w:val="22"/>
        </w:rPr>
        <w:t>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 xml:space="preserve">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w:t>
      </w:r>
      <w:r w:rsidR="00B21AE1" w:rsidRPr="00255549">
        <w:rPr>
          <w:sz w:val="22"/>
          <w:szCs w:val="22"/>
        </w:rPr>
        <w:lastRenderedPageBreak/>
        <w:t>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3CFFA543"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0243CD6" w14:textId="6F33A038" w:rsidR="00EF6BEF" w:rsidRPr="00EF6BEF" w:rsidRDefault="00EF6BEF" w:rsidP="00EF6BEF">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4.3.18. </w:t>
      </w:r>
      <w:r w:rsidRPr="00EF6BEF">
        <w:rPr>
          <w:sz w:val="22"/>
          <w:szCs w:val="22"/>
        </w:rPr>
        <w:t xml:space="preserve">Покупатель принимает решение о заключении Договора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sidR="004D188F">
        <w:rPr>
          <w:sz w:val="22"/>
          <w:szCs w:val="22"/>
        </w:rPr>
        <w:t>Ц</w:t>
      </w:r>
      <w:r w:rsidRPr="00EF6BEF">
        <w:rPr>
          <w:sz w:val="22"/>
          <w:szCs w:val="22"/>
        </w:rPr>
        <w:t xml:space="preserve">ены </w:t>
      </w:r>
      <w:r w:rsidR="00D8736E">
        <w:rPr>
          <w:sz w:val="22"/>
          <w:szCs w:val="22"/>
        </w:rPr>
        <w:t>Д</w:t>
      </w:r>
      <w:r w:rsidRPr="00EF6BEF">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sidR="00D8736E">
        <w:rPr>
          <w:sz w:val="22"/>
          <w:szCs w:val="22"/>
        </w:rPr>
        <w:t>Д</w:t>
      </w:r>
      <w:r w:rsidRPr="00EF6BEF">
        <w:rPr>
          <w:sz w:val="22"/>
          <w:szCs w:val="22"/>
        </w:rPr>
        <w:t xml:space="preserve">олю к Покупателю (далее - Выплаты). Заключая </w:t>
      </w:r>
      <w:r w:rsidR="00D8736E">
        <w:rPr>
          <w:sz w:val="22"/>
          <w:szCs w:val="22"/>
        </w:rPr>
        <w:t>Д</w:t>
      </w:r>
      <w:r w:rsidRPr="00EF6BEF">
        <w:rPr>
          <w:sz w:val="22"/>
          <w:szCs w:val="22"/>
        </w:rPr>
        <w:t>оговор</w:t>
      </w:r>
      <w:r w:rsidR="009617F1">
        <w:rPr>
          <w:sz w:val="22"/>
          <w:szCs w:val="22"/>
        </w:rPr>
        <w:t>,</w:t>
      </w:r>
      <w:r w:rsidRPr="00EF6BEF">
        <w:rPr>
          <w:sz w:val="22"/>
          <w:szCs w:val="22"/>
        </w:rPr>
        <w:t xml:space="preserve"> </w:t>
      </w:r>
      <w:r w:rsidR="00D8736E">
        <w:rPr>
          <w:sz w:val="22"/>
          <w:szCs w:val="22"/>
        </w:rPr>
        <w:t>Покупатель</w:t>
      </w:r>
      <w:r w:rsidRPr="00EF6BEF">
        <w:rPr>
          <w:sz w:val="22"/>
          <w:szCs w:val="22"/>
        </w:rPr>
        <w:t xml:space="preserve"> подтверждает, что в этом случае предъявление Покупателем требования об уменьшении </w:t>
      </w:r>
      <w:r w:rsidR="009617F1">
        <w:rPr>
          <w:sz w:val="22"/>
          <w:szCs w:val="22"/>
        </w:rPr>
        <w:t>Ц</w:t>
      </w:r>
      <w:r w:rsidRPr="00EF6BEF">
        <w:rPr>
          <w:sz w:val="22"/>
          <w:szCs w:val="22"/>
        </w:rPr>
        <w:t xml:space="preserve">ены </w:t>
      </w:r>
      <w:r w:rsidR="00D8736E">
        <w:rPr>
          <w:sz w:val="22"/>
          <w:szCs w:val="22"/>
        </w:rPr>
        <w:t>Д</w:t>
      </w:r>
      <w:r w:rsidRPr="00EF6BEF">
        <w:rPr>
          <w:sz w:val="22"/>
          <w:szCs w:val="22"/>
        </w:rPr>
        <w:t xml:space="preserve">оли является злоупотреблением правом в соответствии с ст. 10 ГК РФ. Цена </w:t>
      </w:r>
      <w:r w:rsidR="00D8736E">
        <w:rPr>
          <w:sz w:val="22"/>
          <w:szCs w:val="22"/>
        </w:rPr>
        <w:t>Д</w:t>
      </w:r>
      <w:r w:rsidRPr="00EF6BEF">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0FE1E623"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p>
    <w:p w14:paraId="20466B30" w14:textId="6E7E5A33" w:rsidR="00B21AE1" w:rsidRDefault="00B21AE1" w:rsidP="00075DE5">
      <w:pPr>
        <w:numPr>
          <w:ilvl w:val="2"/>
          <w:numId w:val="33"/>
        </w:numPr>
        <w:pBdr>
          <w:top w:val="nil"/>
          <w:left w:val="nil"/>
          <w:bottom w:val="nil"/>
          <w:right w:val="nil"/>
          <w:between w:val="nil"/>
        </w:pBdr>
        <w:ind w:left="2127" w:hanging="709"/>
        <w:jc w:val="both"/>
        <w:rPr>
          <w:sz w:val="22"/>
          <w:szCs w:val="22"/>
        </w:rPr>
      </w:pPr>
      <w:r w:rsidRPr="00075DE5">
        <w:rPr>
          <w:sz w:val="22"/>
          <w:szCs w:val="22"/>
        </w:rPr>
        <w:t>Покупатель допустил просрочку исполнения обязательства по уплате Цены уступки на срок более 10 (Десяти) календарных дней</w:t>
      </w:r>
      <w:r w:rsidR="00075DE5" w:rsidRPr="00075DE5">
        <w:rPr>
          <w:sz w:val="22"/>
          <w:szCs w:val="22"/>
        </w:rPr>
        <w:t>;</w:t>
      </w:r>
    </w:p>
    <w:p w14:paraId="00573DA2" w14:textId="47F82A29" w:rsidR="00075DE5" w:rsidRPr="00075DE5" w:rsidRDefault="00075DE5"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в случае </w:t>
      </w:r>
      <w:r w:rsidRPr="009F751C">
        <w:rPr>
          <w:sz w:val="22"/>
          <w:szCs w:val="22"/>
        </w:rPr>
        <w:t xml:space="preserve">неисполнения/ненадлежащего исполнения </w:t>
      </w:r>
      <w:r w:rsidRPr="009F751C">
        <w:rPr>
          <w:b/>
          <w:sz w:val="22"/>
          <w:szCs w:val="22"/>
        </w:rPr>
        <w:t>ЦЕССИОНАРИЕМ</w:t>
      </w:r>
      <w:r w:rsidRPr="009F751C">
        <w:rPr>
          <w:sz w:val="22"/>
          <w:szCs w:val="22"/>
        </w:rPr>
        <w:t xml:space="preserve"> обязанности продлить/открыть аккредитив на тех же условиях на то</w:t>
      </w:r>
      <w:r w:rsidRPr="00B14F97">
        <w:rPr>
          <w:sz w:val="22"/>
          <w:szCs w:val="22"/>
        </w:rPr>
        <w:t>т же срок и предоставить надлежащее подтверждение продления/открытия аккредитива</w:t>
      </w:r>
    </w:p>
    <w:p w14:paraId="111347E4" w14:textId="373EED15"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lastRenderedPageBreak/>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Pr="00D26884">
        <w:rPr>
          <w:sz w:val="22"/>
          <w:szCs w:val="22"/>
        </w:rPr>
        <w:t>;</w:t>
      </w:r>
    </w:p>
    <w:p w14:paraId="467D51DB" w14:textId="50C5C3A4" w:rsidR="00CA6BB0" w:rsidRDefault="00336C3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w:t>
      </w:r>
      <w:r w:rsidR="00CA6BB0" w:rsidRPr="00D26884">
        <w:rPr>
          <w:sz w:val="22"/>
          <w:szCs w:val="22"/>
        </w:rPr>
        <w:t>ях, предусмотренных</w:t>
      </w:r>
      <w:r w:rsidR="00680D70">
        <w:rPr>
          <w:sz w:val="22"/>
          <w:szCs w:val="22"/>
        </w:rPr>
        <w:t xml:space="preserve"> п. 2.14</w:t>
      </w:r>
      <w:r w:rsidR="00CA6BB0" w:rsidRPr="00E36F25">
        <w:rPr>
          <w:sz w:val="22"/>
          <w:szCs w:val="22"/>
        </w:rPr>
        <w:t>,</w:t>
      </w:r>
      <w:r w:rsidR="00680D70">
        <w:rPr>
          <w:sz w:val="22"/>
          <w:szCs w:val="22"/>
        </w:rPr>
        <w:t xml:space="preserve"> п. 2.15</w:t>
      </w:r>
      <w:r w:rsidR="00CA6BB0">
        <w:rPr>
          <w:sz w:val="22"/>
          <w:szCs w:val="22"/>
        </w:rPr>
        <w:t xml:space="preserve"> настоящего Договора</w:t>
      </w:r>
      <w:r w:rsidR="007F6969" w:rsidRPr="004643FA">
        <w:rPr>
          <w:sz w:val="22"/>
          <w:szCs w:val="22"/>
        </w:rPr>
        <w:t>;</w:t>
      </w:r>
    </w:p>
    <w:p w14:paraId="791A27DC" w14:textId="24A30FAF" w:rsidR="009E6393" w:rsidRPr="007F6969" w:rsidRDefault="00DB03B1" w:rsidP="00DB03B1">
      <w:pPr>
        <w:pBdr>
          <w:top w:val="nil"/>
          <w:left w:val="nil"/>
          <w:bottom w:val="nil"/>
          <w:right w:val="nil"/>
          <w:between w:val="nil"/>
        </w:pBdr>
        <w:ind w:left="1440"/>
        <w:jc w:val="both"/>
        <w:rPr>
          <w:sz w:val="22"/>
          <w:szCs w:val="22"/>
        </w:rPr>
      </w:pPr>
      <w:r>
        <w:rPr>
          <w:sz w:val="22"/>
          <w:szCs w:val="22"/>
        </w:rPr>
        <w:t>5.3.6.</w:t>
      </w:r>
      <w:r w:rsidR="00FF26D3" w:rsidRPr="00E36F25">
        <w:rPr>
          <w:sz w:val="22"/>
          <w:szCs w:val="22"/>
        </w:rPr>
        <w:t xml:space="preserve"> </w:t>
      </w:r>
      <w:r w:rsidRPr="00843A71">
        <w:rPr>
          <w:sz w:val="22"/>
          <w:szCs w:val="22"/>
        </w:rPr>
        <w:t>Покупателем не были совершены действия, необходимые для нотариального удостоверения Договора и передачи Доли</w:t>
      </w:r>
      <w:r w:rsidR="007F6969" w:rsidRPr="007F6969">
        <w:rPr>
          <w:sz w:val="22"/>
          <w:szCs w:val="22"/>
        </w:rPr>
        <w:t>;</w:t>
      </w:r>
    </w:p>
    <w:p w14:paraId="05AD7F5E" w14:textId="40E2F743" w:rsidR="007F6969" w:rsidRDefault="007F6969" w:rsidP="00DB03B1">
      <w:pPr>
        <w:pBdr>
          <w:top w:val="nil"/>
          <w:left w:val="nil"/>
          <w:bottom w:val="nil"/>
          <w:right w:val="nil"/>
          <w:between w:val="nil"/>
        </w:pBdr>
        <w:ind w:left="1440"/>
        <w:jc w:val="both"/>
        <w:rPr>
          <w:sz w:val="22"/>
          <w:szCs w:val="22"/>
        </w:rPr>
      </w:pPr>
      <w:r>
        <w:rPr>
          <w:sz w:val="22"/>
          <w:szCs w:val="22"/>
        </w:rPr>
        <w:t>5.3.7. ДУПТ</w:t>
      </w:r>
      <w:r w:rsidRPr="007C75F7">
        <w:rPr>
          <w:sz w:val="22"/>
          <w:szCs w:val="22"/>
        </w:rPr>
        <w:t xml:space="preserve"> признан н</w:t>
      </w:r>
      <w:r w:rsidRPr="007C75F7">
        <w:rPr>
          <w:rFonts w:eastAsiaTheme="minorHAnsi"/>
          <w:color w:val="000000"/>
          <w:sz w:val="22"/>
          <w:szCs w:val="22"/>
          <w:lang w:eastAsia="en-US"/>
        </w:rPr>
        <w:t xml:space="preserve">едействительным или </w:t>
      </w:r>
      <w:proofErr w:type="gramStart"/>
      <w:r w:rsidRPr="007C75F7">
        <w:rPr>
          <w:rFonts w:eastAsiaTheme="minorHAnsi"/>
          <w:color w:val="000000"/>
          <w:sz w:val="22"/>
          <w:szCs w:val="22"/>
          <w:lang w:eastAsia="en-US"/>
        </w:rPr>
        <w:t>незаключенным</w:t>
      </w:r>
      <w:proofErr w:type="gramEnd"/>
      <w:r w:rsidRPr="007C75F7">
        <w:rPr>
          <w:rFonts w:eastAsiaTheme="minorHAnsi"/>
          <w:color w:val="000000"/>
          <w:sz w:val="22"/>
          <w:szCs w:val="22"/>
          <w:lang w:eastAsia="en-US"/>
        </w:rPr>
        <w:t xml:space="preserve"> или расторгнут, прекращен без исполнения или заявлен односторонний отказ от исполнения указанного договора.</w:t>
      </w:r>
    </w:p>
    <w:p w14:paraId="26A24D76" w14:textId="0631D945" w:rsidR="00DB03B1" w:rsidRPr="00B14F97" w:rsidRDefault="00075DE5" w:rsidP="00DB03B1">
      <w:pPr>
        <w:pStyle w:val="af"/>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lastRenderedPageBreak/>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f"/>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w:t>
      </w:r>
      <w:r w:rsidRPr="00255549">
        <w:rPr>
          <w:bCs/>
          <w:sz w:val="22"/>
          <w:szCs w:val="22"/>
        </w:rPr>
        <w:lastRenderedPageBreak/>
        <w:t>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xml:space="preserve">% от </w:t>
      </w:r>
      <w:r w:rsidR="00F61AC5">
        <w:rPr>
          <w:bCs/>
          <w:sz w:val="22"/>
          <w:szCs w:val="22"/>
        </w:rPr>
        <w:lastRenderedPageBreak/>
        <w:t>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w:t>
      </w:r>
      <w:r w:rsidR="00C91D1F" w:rsidRPr="00255549">
        <w:rPr>
          <w:sz w:val="22"/>
          <w:szCs w:val="22"/>
        </w:rPr>
        <w:lastRenderedPageBreak/>
        <w:t xml:space="preserve">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 xml:space="preserve">(если Цессионарий </w:t>
      </w:r>
      <w:proofErr w:type="spellStart"/>
      <w:proofErr w:type="gramStart"/>
      <w:r w:rsidR="00BB1EE4" w:rsidRPr="00651FFD">
        <w:rPr>
          <w:i/>
          <w:sz w:val="22"/>
          <w:szCs w:val="22"/>
        </w:rPr>
        <w:t>физ.лицо</w:t>
      </w:r>
      <w:proofErr w:type="spellEnd"/>
      <w:proofErr w:type="gramEnd"/>
      <w:r w:rsidR="00BB1EE4" w:rsidRPr="00651FFD">
        <w:rPr>
          <w:i/>
          <w:sz w:val="22"/>
          <w:szCs w:val="22"/>
        </w:rPr>
        <w:t xml:space="preserve"> – в Хамовническом районном суде </w:t>
      </w:r>
      <w:proofErr w:type="spellStart"/>
      <w:r w:rsidR="00BB1EE4" w:rsidRPr="00651FFD">
        <w:rPr>
          <w:i/>
          <w:sz w:val="22"/>
          <w:szCs w:val="22"/>
        </w:rPr>
        <w:t>г.Москвы</w:t>
      </w:r>
      <w:proofErr w:type="spellEnd"/>
      <w:r w:rsidR="00BB1EE4" w:rsidRPr="00651FFD">
        <w:rPr>
          <w:i/>
          <w:sz w:val="22"/>
          <w:szCs w:val="22"/>
        </w:rPr>
        <w:t>)</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w:t>
      </w:r>
      <w:r w:rsidRPr="00255549">
        <w:rPr>
          <w:sz w:val="22"/>
          <w:szCs w:val="22"/>
        </w:rPr>
        <w:lastRenderedPageBreak/>
        <w:t>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0F52F14F" w:rsidR="00751DEF" w:rsidRPr="00242475" w:rsidRDefault="00751DEF" w:rsidP="00D04F11">
      <w:pPr>
        <w:ind w:left="720"/>
        <w:jc w:val="right"/>
        <w:outlineLvl w:val="0"/>
        <w:rPr>
          <w:bCs/>
          <w:sz w:val="22"/>
          <w:szCs w:val="22"/>
        </w:rPr>
      </w:pPr>
      <w:r>
        <w:rPr>
          <w:bCs/>
          <w:sz w:val="22"/>
          <w:szCs w:val="22"/>
        </w:rPr>
        <w:t>Общества с ограниченной от</w:t>
      </w:r>
      <w:r w:rsidR="00BD4D15">
        <w:rPr>
          <w:bCs/>
          <w:sz w:val="22"/>
          <w:szCs w:val="22"/>
        </w:rPr>
        <w:t>ветственностью «</w:t>
      </w:r>
      <w:proofErr w:type="spellStart"/>
      <w:r w:rsidR="00DB03B1">
        <w:rPr>
          <w:bCs/>
          <w:sz w:val="22"/>
          <w:szCs w:val="22"/>
        </w:rPr>
        <w:t>Тагл</w:t>
      </w:r>
      <w:proofErr w:type="spellEnd"/>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118559D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r>
        <w:rPr>
          <w:bCs/>
          <w:sz w:val="22"/>
          <w:szCs w:val="22"/>
        </w:rPr>
        <w:t>2022</w:t>
      </w:r>
      <w:r w:rsidR="00D64BEB">
        <w:rPr>
          <w:bCs/>
          <w:sz w:val="22"/>
          <w:szCs w:val="22"/>
        </w:rPr>
        <w:t xml:space="preserve"> </w:t>
      </w:r>
      <w:r w:rsidRPr="00242475">
        <w:rPr>
          <w:bCs/>
          <w:sz w:val="22"/>
          <w:szCs w:val="22"/>
        </w:rPr>
        <w:t>года</w:t>
      </w:r>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1C7A4CC2"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060F35">
        <w:rPr>
          <w:sz w:val="22"/>
          <w:szCs w:val="22"/>
        </w:rPr>
        <w:t xml:space="preserve"> отношении ООО «</w:t>
      </w:r>
      <w:proofErr w:type="spellStart"/>
      <w:r w:rsidR="00060F35">
        <w:rPr>
          <w:sz w:val="22"/>
          <w:szCs w:val="22"/>
        </w:rPr>
        <w:t>Тагл</w:t>
      </w:r>
      <w:proofErr w:type="spellEnd"/>
      <w:r w:rsidRPr="00060F35">
        <w:rPr>
          <w:sz w:val="22"/>
          <w:szCs w:val="22"/>
        </w:rPr>
        <w:t>»</w:t>
      </w:r>
      <w:r w:rsidR="00DB7255" w:rsidRPr="00060F35">
        <w:rPr>
          <w:sz w:val="22"/>
          <w:szCs w:val="22"/>
          <w:lang w:val="x-none"/>
        </w:rPr>
        <w:t xml:space="preserve"> </w:t>
      </w:r>
      <w:r w:rsidR="00060F35" w:rsidRPr="00060F35">
        <w:rPr>
          <w:sz w:val="22"/>
          <w:szCs w:val="22"/>
          <w:lang w:val="x-none"/>
        </w:rPr>
        <w:t>(</w:t>
      </w:r>
      <w:r w:rsidR="00060F35" w:rsidRPr="00060F35">
        <w:rPr>
          <w:sz w:val="22"/>
          <w:szCs w:val="22"/>
        </w:rPr>
        <w:t xml:space="preserve">ОГРН </w:t>
      </w:r>
      <w:r w:rsidR="00060F35" w:rsidRPr="00060F35">
        <w:rPr>
          <w:color w:val="000000"/>
          <w:sz w:val="22"/>
          <w:szCs w:val="22"/>
        </w:rPr>
        <w:t>1207700186066</w:t>
      </w:r>
      <w:r w:rsidR="00060F35" w:rsidRPr="00060F35">
        <w:rPr>
          <w:sz w:val="22"/>
          <w:szCs w:val="22"/>
        </w:rPr>
        <w:t>, ИНН 9721098990</w:t>
      </w:r>
      <w:r w:rsidR="00DB7255" w:rsidRPr="00060F35">
        <w:rPr>
          <w:sz w:val="22"/>
          <w:szCs w:val="22"/>
          <w:lang w:val="x-none"/>
        </w:rPr>
        <w:t>)</w:t>
      </w:r>
      <w:r w:rsidRPr="004879C6">
        <w:rPr>
          <w:sz w:val="22"/>
          <w:szCs w:val="22"/>
        </w:rPr>
        <w:t>, где в графе «Сведения об учредителях (участниках) юридического лица» в качестве единственного</w:t>
      </w:r>
      <w:r w:rsidR="00060F35">
        <w:rPr>
          <w:sz w:val="22"/>
          <w:szCs w:val="22"/>
        </w:rPr>
        <w:t xml:space="preserve"> участника ООО «</w:t>
      </w:r>
      <w:proofErr w:type="spellStart"/>
      <w:r w:rsidR="00060F35">
        <w:rPr>
          <w:sz w:val="22"/>
          <w:szCs w:val="22"/>
        </w:rPr>
        <w:t>Тагл</w:t>
      </w:r>
      <w:proofErr w:type="spellEnd"/>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310D109"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060F35">
        <w:rPr>
          <w:sz w:val="22"/>
          <w:szCs w:val="22"/>
          <w:lang w:eastAsia="en-US"/>
        </w:rPr>
        <w:t>обязуется не менее чем за 3</w:t>
      </w:r>
      <w:r w:rsidRPr="004879C6">
        <w:rPr>
          <w:sz w:val="22"/>
          <w:szCs w:val="22"/>
          <w:lang w:eastAsia="en-US"/>
        </w:rPr>
        <w:t xml:space="preserve"> </w:t>
      </w:r>
      <w:r>
        <w:rPr>
          <w:sz w:val="22"/>
          <w:szCs w:val="22"/>
          <w:lang w:eastAsia="en-US"/>
        </w:rPr>
        <w:t>(</w:t>
      </w:r>
      <w:r w:rsidR="00A431DA">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56F5F79B"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B140A">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3"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8"/>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7"/>
  </w:num>
  <w:num w:numId="14">
    <w:abstractNumId w:val="18"/>
  </w:num>
  <w:num w:numId="15">
    <w:abstractNumId w:val="29"/>
  </w:num>
  <w:num w:numId="16">
    <w:abstractNumId w:val="26"/>
  </w:num>
  <w:num w:numId="17">
    <w:abstractNumId w:val="33"/>
  </w:num>
  <w:num w:numId="18">
    <w:abstractNumId w:val="19"/>
  </w:num>
  <w:num w:numId="19">
    <w:abstractNumId w:val="10"/>
  </w:num>
  <w:num w:numId="20">
    <w:abstractNumId w:val="17"/>
  </w:num>
  <w:num w:numId="21">
    <w:abstractNumId w:val="24"/>
  </w:num>
  <w:num w:numId="22">
    <w:abstractNumId w:val="32"/>
  </w:num>
  <w:num w:numId="23">
    <w:abstractNumId w:val="30"/>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1D"/>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961"/>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A7B17"/>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188F"/>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0D70"/>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6969"/>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127F"/>
    <w:rsid w:val="008B2D61"/>
    <w:rsid w:val="008B504D"/>
    <w:rsid w:val="008B5469"/>
    <w:rsid w:val="008B5A48"/>
    <w:rsid w:val="008B5EAC"/>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17F1"/>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413"/>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36E"/>
    <w:rsid w:val="00D878E9"/>
    <w:rsid w:val="00D93EBF"/>
    <w:rsid w:val="00D95D76"/>
    <w:rsid w:val="00D97DBD"/>
    <w:rsid w:val="00DA069E"/>
    <w:rsid w:val="00DA1323"/>
    <w:rsid w:val="00DA36C0"/>
    <w:rsid w:val="00DA37D1"/>
    <w:rsid w:val="00DA4E52"/>
    <w:rsid w:val="00DA575A"/>
    <w:rsid w:val="00DB03B1"/>
    <w:rsid w:val="00DB140A"/>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6BEF"/>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5"/>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1570-F3B1-4DB8-9D7B-1949B2D2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16</Pages>
  <Words>9193</Words>
  <Characters>52401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Акчурина Роза Маратовна (Траст)</cp:lastModifiedBy>
  <cp:revision>7</cp:revision>
  <cp:lastPrinted>2021-12-22T12:09:00Z</cp:lastPrinted>
  <dcterms:created xsi:type="dcterms:W3CDTF">2022-10-07T11:57:00Z</dcterms:created>
  <dcterms:modified xsi:type="dcterms:W3CDTF">2023-08-03T06:32:00Z</dcterms:modified>
</cp:coreProperties>
</file>