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6D971CF6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</w:t>
      </w:r>
      <w:r w:rsidR="006F1197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B4526F" w14:paraId="250C11D1" w14:textId="77777777" w:rsidTr="00863765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863765">
              <w:tc>
                <w:tcPr>
                  <w:tcW w:w="6969" w:type="dxa"/>
                </w:tcPr>
                <w:p w14:paraId="2490B314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863765">
              <w:tc>
                <w:tcPr>
                  <w:tcW w:w="6969" w:type="dxa"/>
                </w:tcPr>
                <w:p w14:paraId="5B6B5B6D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AB7A301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863765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863765">
              <w:tc>
                <w:tcPr>
                  <w:tcW w:w="6969" w:type="dxa"/>
                </w:tcPr>
                <w:p w14:paraId="357056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863765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863765">
              <w:tc>
                <w:tcPr>
                  <w:tcW w:w="6969" w:type="dxa"/>
                </w:tcPr>
                <w:p w14:paraId="02911C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863765">
              <w:tc>
                <w:tcPr>
                  <w:tcW w:w="6969" w:type="dxa"/>
                </w:tcPr>
                <w:p w14:paraId="056B855B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6AC8875B" w14:textId="4540AB4E" w:rsidR="007F1239" w:rsidRPr="007F1239" w:rsidRDefault="00A33B8B" w:rsidP="00A33B8B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  <w:bookmarkStart w:id="0" w:name="_Hlk129627743"/>
      <w:r>
        <w:rPr>
          <w:rFonts w:ascii="Verdana" w:hAnsi="Verdana"/>
          <w:i/>
          <w:color w:val="0070C0"/>
          <w:sz w:val="20"/>
          <w:szCs w:val="20"/>
        </w:rPr>
        <w:t>Квартира</w:t>
      </w:r>
      <w:r w:rsidR="007F1239" w:rsidRPr="007F1239">
        <w:rPr>
          <w:rFonts w:ascii="Verdana" w:hAnsi="Verdana"/>
          <w:i/>
          <w:color w:val="0070C0"/>
          <w:sz w:val="20"/>
          <w:szCs w:val="20"/>
        </w:rPr>
        <w:t xml:space="preserve">, </w:t>
      </w:r>
      <w:r w:rsidR="007F1239" w:rsidRPr="007F1239">
        <w:rPr>
          <w:rFonts w:ascii="Verdana" w:hAnsi="Verdana"/>
          <w:color w:val="000000" w:themeColor="text1"/>
          <w:sz w:val="20"/>
          <w:szCs w:val="20"/>
        </w:rPr>
        <w:t>назначение:</w:t>
      </w:r>
      <w:r w:rsidR="007F1239" w:rsidRPr="007F1239">
        <w:rPr>
          <w:rFonts w:ascii="Verdana" w:hAnsi="Verdana"/>
          <w:i/>
          <w:color w:val="0070C0"/>
          <w:sz w:val="20"/>
          <w:szCs w:val="20"/>
        </w:rPr>
        <w:t xml:space="preserve"> жилое, вид жилого помещения: квартира, </w:t>
      </w:r>
      <w:r w:rsidR="007F1239" w:rsidRPr="007F1239">
        <w:rPr>
          <w:rFonts w:ascii="Verdana" w:hAnsi="Verdana"/>
          <w:color w:val="000000" w:themeColor="text1"/>
          <w:sz w:val="20"/>
          <w:szCs w:val="20"/>
        </w:rPr>
        <w:t xml:space="preserve">кадастровый номер </w:t>
      </w:r>
      <w:r w:rsidR="007F1239" w:rsidRPr="007F1239">
        <w:rPr>
          <w:rFonts w:ascii="Verdana" w:hAnsi="Verdana"/>
          <w:i/>
          <w:color w:val="0070C0"/>
          <w:sz w:val="20"/>
          <w:szCs w:val="20"/>
        </w:rPr>
        <w:t>№</w:t>
      </w:r>
      <w:r w:rsidR="007F1239" w:rsidRPr="007F1239">
        <w:rPr>
          <w:sz w:val="20"/>
          <w:szCs w:val="20"/>
        </w:rPr>
        <w:t xml:space="preserve"> </w:t>
      </w:r>
      <w:r w:rsidRPr="00A33B8B">
        <w:rPr>
          <w:rFonts w:ascii="Verdana" w:hAnsi="Verdana"/>
          <w:i/>
          <w:color w:val="0070C0"/>
          <w:sz w:val="20"/>
          <w:szCs w:val="20"/>
        </w:rPr>
        <w:t>29:16:240601:1142</w:t>
      </w:r>
      <w:r w:rsidR="007F1239" w:rsidRPr="007F1239">
        <w:rPr>
          <w:rFonts w:ascii="Verdana" w:hAnsi="Verdana"/>
          <w:color w:val="4F81BD" w:themeColor="accent1"/>
          <w:sz w:val="20"/>
          <w:szCs w:val="20"/>
        </w:rPr>
        <w:t xml:space="preserve">, </w:t>
      </w:r>
      <w:r w:rsidR="007F1239" w:rsidRPr="007F1239">
        <w:rPr>
          <w:rFonts w:ascii="Verdana" w:hAnsi="Verdana"/>
          <w:color w:val="000000" w:themeColor="text1"/>
          <w:sz w:val="20"/>
          <w:szCs w:val="20"/>
        </w:rPr>
        <w:t>общей площадью</w:t>
      </w:r>
      <w:r w:rsidR="007F1239" w:rsidRPr="007F1239">
        <w:rPr>
          <w:rFonts w:ascii="Verdana" w:hAnsi="Verdana"/>
          <w:color w:val="4F81BD" w:themeColor="accent1"/>
          <w:sz w:val="20"/>
          <w:szCs w:val="20"/>
        </w:rPr>
        <w:t xml:space="preserve"> </w:t>
      </w:r>
      <w:r w:rsidR="001A4A7C">
        <w:rPr>
          <w:rFonts w:ascii="Verdana" w:hAnsi="Verdana"/>
          <w:i/>
          <w:color w:val="0070C0"/>
          <w:sz w:val="20"/>
          <w:szCs w:val="20"/>
        </w:rPr>
        <w:t>45</w:t>
      </w:r>
      <w:r w:rsidR="007F1239" w:rsidRPr="007F1239">
        <w:rPr>
          <w:rFonts w:ascii="Verdana" w:hAnsi="Verdana"/>
          <w:color w:val="4F81BD" w:themeColor="accent1"/>
          <w:sz w:val="20"/>
          <w:szCs w:val="20"/>
        </w:rPr>
        <w:t xml:space="preserve"> </w:t>
      </w:r>
      <w:proofErr w:type="spellStart"/>
      <w:r w:rsidR="007F1239" w:rsidRPr="007F1239">
        <w:rPr>
          <w:rFonts w:ascii="Verdana" w:hAnsi="Verdana"/>
          <w:color w:val="000000" w:themeColor="text1"/>
          <w:sz w:val="20"/>
          <w:szCs w:val="20"/>
        </w:rPr>
        <w:t>кв.м</w:t>
      </w:r>
      <w:proofErr w:type="spellEnd"/>
      <w:r w:rsidR="007F1239" w:rsidRPr="007F1239">
        <w:rPr>
          <w:rFonts w:ascii="Verdana" w:hAnsi="Verdana"/>
          <w:color w:val="000000" w:themeColor="text1"/>
          <w:sz w:val="20"/>
          <w:szCs w:val="20"/>
        </w:rPr>
        <w:t xml:space="preserve">., </w:t>
      </w:r>
      <w:r w:rsidR="007F1239" w:rsidRPr="007F1239">
        <w:rPr>
          <w:rFonts w:ascii="Verdana" w:hAnsi="Verdana"/>
          <w:sz w:val="20"/>
          <w:szCs w:val="20"/>
        </w:rPr>
        <w:t>адрес (местонахождение)</w:t>
      </w:r>
      <w:r w:rsidR="007F1239" w:rsidRPr="007F1239">
        <w:rPr>
          <w:rFonts w:ascii="Verdana" w:hAnsi="Verdana"/>
          <w:color w:val="000000" w:themeColor="text1"/>
          <w:sz w:val="20"/>
          <w:szCs w:val="20"/>
        </w:rPr>
        <w:t>:</w:t>
      </w:r>
      <w:r w:rsidR="007F1239" w:rsidRPr="007F1239">
        <w:rPr>
          <w:rFonts w:ascii="Verdana" w:hAnsi="Verdana"/>
          <w:color w:val="4F81BD" w:themeColor="accent1"/>
          <w:sz w:val="20"/>
          <w:szCs w:val="20"/>
        </w:rPr>
        <w:t xml:space="preserve"> </w:t>
      </w:r>
      <w:r w:rsidR="001A4A7C" w:rsidRPr="001A4A7C">
        <w:rPr>
          <w:rFonts w:ascii="Verdana" w:hAnsi="Verdana"/>
          <w:i/>
          <w:color w:val="0070C0"/>
          <w:sz w:val="20"/>
          <w:szCs w:val="20"/>
        </w:rPr>
        <w:t xml:space="preserve">Архангельская область, </w:t>
      </w:r>
      <w:proofErr w:type="spellStart"/>
      <w:r w:rsidR="001A4A7C" w:rsidRPr="001A4A7C">
        <w:rPr>
          <w:rFonts w:ascii="Verdana" w:hAnsi="Verdana"/>
          <w:i/>
          <w:color w:val="0070C0"/>
          <w:sz w:val="20"/>
          <w:szCs w:val="20"/>
        </w:rPr>
        <w:t>м.р</w:t>
      </w:r>
      <w:proofErr w:type="spellEnd"/>
      <w:r w:rsidR="001A4A7C" w:rsidRPr="001A4A7C">
        <w:rPr>
          <w:rFonts w:ascii="Verdana" w:hAnsi="Verdana"/>
          <w:i/>
          <w:color w:val="0070C0"/>
          <w:sz w:val="20"/>
          <w:szCs w:val="20"/>
        </w:rPr>
        <w:t xml:space="preserve">-н Приморский, </w:t>
      </w:r>
      <w:proofErr w:type="spellStart"/>
      <w:r w:rsidR="001A4A7C" w:rsidRPr="001A4A7C">
        <w:rPr>
          <w:rFonts w:ascii="Verdana" w:hAnsi="Verdana"/>
          <w:i/>
          <w:color w:val="0070C0"/>
          <w:sz w:val="20"/>
          <w:szCs w:val="20"/>
        </w:rPr>
        <w:t>с.п</w:t>
      </w:r>
      <w:proofErr w:type="spellEnd"/>
      <w:r w:rsidR="001A4A7C" w:rsidRPr="001A4A7C">
        <w:rPr>
          <w:rFonts w:ascii="Verdana" w:hAnsi="Verdana"/>
          <w:i/>
          <w:color w:val="0070C0"/>
          <w:sz w:val="20"/>
          <w:szCs w:val="20"/>
        </w:rPr>
        <w:t xml:space="preserve">. </w:t>
      </w:r>
      <w:proofErr w:type="spellStart"/>
      <w:r w:rsidR="001A4A7C" w:rsidRPr="001A4A7C">
        <w:rPr>
          <w:rFonts w:ascii="Verdana" w:hAnsi="Verdana"/>
          <w:i/>
          <w:color w:val="0070C0"/>
          <w:sz w:val="20"/>
          <w:szCs w:val="20"/>
        </w:rPr>
        <w:t>Катунинское</w:t>
      </w:r>
      <w:proofErr w:type="spellEnd"/>
      <w:r w:rsidR="001A4A7C" w:rsidRPr="001A4A7C">
        <w:rPr>
          <w:rFonts w:ascii="Verdana" w:hAnsi="Verdana"/>
          <w:i/>
          <w:color w:val="0070C0"/>
          <w:sz w:val="20"/>
          <w:szCs w:val="20"/>
        </w:rPr>
        <w:t xml:space="preserve">, п. </w:t>
      </w:r>
      <w:proofErr w:type="spellStart"/>
      <w:r w:rsidR="001A4A7C" w:rsidRPr="001A4A7C">
        <w:rPr>
          <w:rFonts w:ascii="Verdana" w:hAnsi="Verdana"/>
          <w:i/>
          <w:color w:val="0070C0"/>
          <w:sz w:val="20"/>
          <w:szCs w:val="20"/>
        </w:rPr>
        <w:t>Катунино</w:t>
      </w:r>
      <w:proofErr w:type="spellEnd"/>
      <w:r w:rsidR="001A4A7C" w:rsidRPr="001A4A7C">
        <w:rPr>
          <w:rFonts w:ascii="Verdana" w:hAnsi="Verdana"/>
          <w:i/>
          <w:color w:val="0070C0"/>
          <w:sz w:val="20"/>
          <w:szCs w:val="20"/>
        </w:rPr>
        <w:t>, ул.</w:t>
      </w:r>
      <w:r w:rsidR="001A4A7C">
        <w:rPr>
          <w:rFonts w:ascii="Verdana" w:hAnsi="Verdana"/>
          <w:i/>
          <w:color w:val="0070C0"/>
          <w:sz w:val="20"/>
          <w:szCs w:val="20"/>
        </w:rPr>
        <w:t xml:space="preserve"> </w:t>
      </w:r>
      <w:proofErr w:type="spellStart"/>
      <w:r w:rsidR="001A4A7C" w:rsidRPr="001A4A7C">
        <w:rPr>
          <w:rFonts w:ascii="Verdana" w:hAnsi="Verdana"/>
          <w:i/>
          <w:color w:val="0070C0"/>
          <w:sz w:val="20"/>
          <w:szCs w:val="20"/>
        </w:rPr>
        <w:t>Стрельцова</w:t>
      </w:r>
      <w:proofErr w:type="spellEnd"/>
      <w:r w:rsidR="001A4A7C" w:rsidRPr="001A4A7C">
        <w:rPr>
          <w:rFonts w:ascii="Verdana" w:hAnsi="Verdana"/>
          <w:i/>
          <w:color w:val="0070C0"/>
          <w:sz w:val="20"/>
          <w:szCs w:val="20"/>
        </w:rPr>
        <w:t>, д. 1, кв. 22</w:t>
      </w:r>
      <w:r w:rsidR="007F1239" w:rsidRPr="007F1239">
        <w:rPr>
          <w:rFonts w:ascii="Verdana" w:hAnsi="Verdana"/>
          <w:sz w:val="20"/>
          <w:szCs w:val="20"/>
        </w:rPr>
        <w:t xml:space="preserve">, </w:t>
      </w:r>
      <w:bookmarkEnd w:id="0"/>
      <w:r w:rsidR="007F1239" w:rsidRPr="007F1239">
        <w:rPr>
          <w:rFonts w:ascii="Verdana" w:hAnsi="Verdana" w:cs="Times New Roman"/>
          <w:sz w:val="20"/>
          <w:szCs w:val="20"/>
        </w:rPr>
        <w:t>(далее именуемое – «недвижимое имущество»).</w:t>
      </w:r>
    </w:p>
    <w:p w14:paraId="5F5CF2FD" w14:textId="543FCC0A" w:rsidR="00F179B8" w:rsidRDefault="007F1239" w:rsidP="007F1239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</w:rPr>
        <w:t xml:space="preserve">Недвижимое имущество принадлежит Продавцу на праве собственности, о чем в Едином государственном реестре недвижимости сделана запись о регистрации: </w:t>
      </w:r>
      <w:r w:rsidRPr="00090043">
        <w:rPr>
          <w:rFonts w:ascii="Verdana" w:hAnsi="Verdana" w:cs="Times New Roman"/>
        </w:rPr>
        <w:t xml:space="preserve">№ </w:t>
      </w:r>
      <w:r w:rsidR="005658FA" w:rsidRPr="005658FA">
        <w:rPr>
          <w:rFonts w:ascii="Verdana" w:hAnsi="Verdana" w:cs="Times New Roman"/>
          <w:i/>
          <w:color w:val="0070C0"/>
        </w:rPr>
        <w:t>29:16:240601:1142-29/188/2023-21</w:t>
      </w:r>
      <w:r w:rsidR="005658FA">
        <w:rPr>
          <w:rFonts w:ascii="Verdana" w:hAnsi="Verdana" w:cs="Times New Roman"/>
          <w:i/>
          <w:color w:val="0070C0"/>
        </w:rPr>
        <w:t xml:space="preserve"> </w:t>
      </w:r>
      <w:r w:rsidRPr="00090043">
        <w:rPr>
          <w:rFonts w:ascii="Verdana" w:hAnsi="Verdana" w:cs="Times New Roman"/>
          <w:i/>
          <w:color w:val="0070C0"/>
        </w:rPr>
        <w:t xml:space="preserve">от </w:t>
      </w:r>
      <w:r w:rsidR="005658FA" w:rsidRPr="005658FA">
        <w:rPr>
          <w:rFonts w:ascii="Verdana" w:hAnsi="Verdana" w:cs="Times New Roman"/>
          <w:i/>
          <w:color w:val="0070C0"/>
        </w:rPr>
        <w:t>13.04.2023</w:t>
      </w:r>
      <w:r w:rsidRPr="00090043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</w:t>
      </w:r>
      <w:r w:rsidRPr="00090043">
        <w:rPr>
          <w:rFonts w:ascii="Verdana" w:hAnsi="Verdana" w:cs="Times New Roman"/>
        </w:rPr>
        <w:t>что подтверждается Выписк</w:t>
      </w:r>
      <w:r>
        <w:rPr>
          <w:rFonts w:ascii="Verdana" w:hAnsi="Verdana" w:cs="Times New Roman"/>
        </w:rPr>
        <w:t>ой</w:t>
      </w:r>
      <w:r w:rsidRPr="00090043">
        <w:rPr>
          <w:rFonts w:ascii="Verdana" w:hAnsi="Verdana" w:cs="Times New Roman"/>
        </w:rPr>
        <w:t xml:space="preserve"> из Единого государственного реестра недвижимости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i/>
          <w:color w:val="0070C0"/>
        </w:rPr>
        <w:t xml:space="preserve">от </w:t>
      </w:r>
      <w:r w:rsidR="006F1197">
        <w:rPr>
          <w:rFonts w:ascii="Verdana" w:hAnsi="Verdana" w:cs="Times New Roman"/>
          <w:i/>
          <w:color w:val="0070C0"/>
        </w:rPr>
        <w:t>___</w:t>
      </w:r>
      <w:r w:rsidR="005658FA" w:rsidRPr="005658FA">
        <w:rPr>
          <w:rFonts w:ascii="Verdana" w:hAnsi="Verdana" w:cs="Times New Roman"/>
          <w:i/>
          <w:color w:val="0070C0"/>
        </w:rPr>
        <w:t xml:space="preserve"> № </w:t>
      </w:r>
      <w:r w:rsidR="006F1197">
        <w:rPr>
          <w:rFonts w:ascii="Verdana" w:hAnsi="Verdana" w:cs="Times New Roman"/>
          <w:i/>
          <w:color w:val="0070C0"/>
        </w:rPr>
        <w:t>______</w:t>
      </w:r>
      <w:bookmarkStart w:id="1" w:name="_GoBack"/>
      <w:bookmarkEnd w:id="1"/>
      <w:r>
        <w:rPr>
          <w:rFonts w:ascii="Verdana" w:hAnsi="Verdana" w:cs="Times New Roman"/>
          <w:i/>
          <w:color w:val="0070C0"/>
        </w:rPr>
        <w:t>.</w:t>
      </w:r>
    </w:p>
    <w:p w14:paraId="0A543BDA" w14:textId="6C3D03B7" w:rsidR="005D6F2B" w:rsidRPr="005D6F2B" w:rsidRDefault="005D6F2B" w:rsidP="005D6F2B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504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5ADD95C1" w14:textId="150C19FA" w:rsidR="00171986" w:rsidRPr="00255840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255840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DF1F34E" w14:textId="44EEE311" w:rsidR="00E775AE" w:rsidRDefault="00E775AE" w:rsidP="00E775AE">
      <w:pPr>
        <w:pStyle w:val="ConsNormal"/>
        <w:widowControl/>
        <w:numPr>
          <w:ilvl w:val="1"/>
          <w:numId w:val="35"/>
        </w:numPr>
        <w:tabs>
          <w:tab w:val="left" w:pos="709"/>
        </w:tabs>
        <w:ind w:left="0" w:right="0" w:firstLine="710"/>
        <w:jc w:val="both"/>
        <w:rPr>
          <w:rFonts w:ascii="Verdana" w:hAnsi="Verdana" w:cs="Times New Roman"/>
        </w:rPr>
      </w:pPr>
      <w:r w:rsidRPr="00E775AE">
        <w:rPr>
          <w:rFonts w:ascii="Verdana" w:hAnsi="Verdana" w:cs="Times New Roman"/>
        </w:rPr>
        <w:t>На дату подписания Договора недвижимое имущество не отчуждено, не заложено, в споре и под арестом не состоит.</w:t>
      </w:r>
    </w:p>
    <w:p w14:paraId="3987A99F" w14:textId="46A3A502" w:rsidR="00E775AE" w:rsidRDefault="00E775AE" w:rsidP="00E775AE">
      <w:pPr>
        <w:pStyle w:val="ConsNormal"/>
        <w:widowControl/>
        <w:numPr>
          <w:ilvl w:val="1"/>
          <w:numId w:val="35"/>
        </w:numPr>
        <w:tabs>
          <w:tab w:val="left" w:pos="709"/>
        </w:tabs>
        <w:ind w:left="0" w:right="0" w:firstLine="710"/>
        <w:jc w:val="both"/>
        <w:rPr>
          <w:rFonts w:ascii="Verdana" w:hAnsi="Verdana" w:cs="Times New Roman"/>
        </w:rPr>
      </w:pPr>
      <w:r w:rsidRPr="00E775AE">
        <w:rPr>
          <w:rFonts w:ascii="Verdana" w:hAnsi="Verdana" w:cs="Times New Roman"/>
        </w:rPr>
        <w:t>В отчуждаемом недвижимом имуществе на дату подписания Договора на регистрационном учете состоят</w:t>
      </w:r>
      <w:r>
        <w:rPr>
          <w:rFonts w:ascii="Verdana" w:hAnsi="Verdana" w:cs="Times New Roman"/>
        </w:rPr>
        <w:t xml:space="preserve"> и проживают</w:t>
      </w:r>
      <w:r w:rsidRPr="00E775AE">
        <w:rPr>
          <w:rFonts w:ascii="Verdana" w:hAnsi="Verdana" w:cs="Times New Roman"/>
        </w:rPr>
        <w:t>:</w:t>
      </w:r>
    </w:p>
    <w:p w14:paraId="38F8101E" w14:textId="492113B8" w:rsidR="00E775AE" w:rsidRPr="00A3452B" w:rsidRDefault="00E775AE" w:rsidP="00E775AE">
      <w:pPr>
        <w:pStyle w:val="ConsNormal"/>
        <w:widowControl/>
        <w:tabs>
          <w:tab w:val="left" w:pos="709"/>
        </w:tabs>
        <w:ind w:left="710" w:right="0" w:firstLine="0"/>
        <w:jc w:val="both"/>
        <w:rPr>
          <w:rFonts w:ascii="Verdana" w:hAnsi="Verdana" w:cs="Times New Roman"/>
          <w:color w:val="0070C0"/>
        </w:rPr>
      </w:pPr>
      <w:bookmarkStart w:id="2" w:name="_Hlk129943936"/>
      <w:r w:rsidRPr="00A3452B">
        <w:rPr>
          <w:rFonts w:ascii="Verdana" w:hAnsi="Verdana" w:cs="Times New Roman"/>
          <w:color w:val="0070C0"/>
        </w:rPr>
        <w:t xml:space="preserve">1) </w:t>
      </w:r>
      <w:r>
        <w:rPr>
          <w:rFonts w:ascii="Verdana" w:hAnsi="Verdana" w:cs="Times New Roman"/>
          <w:color w:val="0070C0"/>
        </w:rPr>
        <w:t>Жилец 1</w:t>
      </w:r>
      <w:r w:rsidRPr="00A3452B">
        <w:rPr>
          <w:rFonts w:ascii="Verdana" w:hAnsi="Verdana" w:cs="Times New Roman"/>
          <w:color w:val="0070C0"/>
        </w:rPr>
        <w:t xml:space="preserve">, </w:t>
      </w:r>
      <w:r>
        <w:rPr>
          <w:rFonts w:ascii="Verdana" w:hAnsi="Verdana" w:cs="Times New Roman"/>
          <w:color w:val="0070C0"/>
        </w:rPr>
        <w:t>Х.Х.</w:t>
      </w:r>
      <w:r w:rsidRPr="00A3452B">
        <w:rPr>
          <w:rFonts w:ascii="Verdana" w:hAnsi="Verdana" w:cs="Times New Roman"/>
          <w:color w:val="0070C0"/>
        </w:rPr>
        <w:t>19</w:t>
      </w:r>
      <w:r w:rsidR="00BE10D4">
        <w:rPr>
          <w:rFonts w:ascii="Verdana" w:hAnsi="Verdana" w:cs="Times New Roman"/>
          <w:color w:val="0070C0"/>
        </w:rPr>
        <w:t>85</w:t>
      </w:r>
      <w:r w:rsidRPr="00A3452B">
        <w:rPr>
          <w:rFonts w:ascii="Verdana" w:hAnsi="Verdana" w:cs="Times New Roman"/>
          <w:color w:val="0070C0"/>
        </w:rPr>
        <w:t xml:space="preserve"> г.р.; </w:t>
      </w:r>
    </w:p>
    <w:p w14:paraId="1F8F1BED" w14:textId="34946FD3" w:rsidR="00E775AE" w:rsidRPr="00A3452B" w:rsidRDefault="00E775AE" w:rsidP="00E775AE">
      <w:pPr>
        <w:pStyle w:val="ConsNormal"/>
        <w:widowControl/>
        <w:tabs>
          <w:tab w:val="left" w:pos="709"/>
        </w:tabs>
        <w:ind w:left="710" w:right="0" w:firstLine="0"/>
        <w:jc w:val="both"/>
        <w:rPr>
          <w:rFonts w:ascii="Verdana" w:hAnsi="Verdana" w:cs="Times New Roman"/>
          <w:color w:val="0070C0"/>
        </w:rPr>
      </w:pPr>
      <w:r w:rsidRPr="00A3452B">
        <w:rPr>
          <w:rFonts w:ascii="Verdana" w:hAnsi="Verdana" w:cs="Times New Roman"/>
          <w:color w:val="0070C0"/>
        </w:rPr>
        <w:t xml:space="preserve">2) </w:t>
      </w:r>
      <w:r>
        <w:rPr>
          <w:rFonts w:ascii="Verdana" w:hAnsi="Verdana" w:cs="Times New Roman"/>
          <w:color w:val="0070C0"/>
        </w:rPr>
        <w:t>Жилец 2</w:t>
      </w:r>
      <w:r w:rsidRPr="00A3452B">
        <w:rPr>
          <w:rFonts w:ascii="Verdana" w:hAnsi="Verdana" w:cs="Times New Roman"/>
          <w:color w:val="0070C0"/>
        </w:rPr>
        <w:t xml:space="preserve">, </w:t>
      </w:r>
      <w:r>
        <w:rPr>
          <w:rFonts w:ascii="Verdana" w:hAnsi="Verdana" w:cs="Times New Roman"/>
          <w:color w:val="0070C0"/>
        </w:rPr>
        <w:t>Х.Х.</w:t>
      </w:r>
      <w:r w:rsidR="00BE10D4">
        <w:rPr>
          <w:rFonts w:ascii="Verdana" w:hAnsi="Verdana" w:cs="Times New Roman"/>
          <w:color w:val="0070C0"/>
        </w:rPr>
        <w:t>2009</w:t>
      </w:r>
      <w:r w:rsidRPr="00A3452B">
        <w:rPr>
          <w:rFonts w:ascii="Verdana" w:hAnsi="Verdana" w:cs="Times New Roman"/>
          <w:color w:val="0070C0"/>
        </w:rPr>
        <w:t xml:space="preserve"> г.р.;</w:t>
      </w:r>
    </w:p>
    <w:p w14:paraId="502F2272" w14:textId="002C3A81" w:rsidR="00E775AE" w:rsidRPr="00A3452B" w:rsidRDefault="00E775AE" w:rsidP="00E775AE">
      <w:pPr>
        <w:pStyle w:val="ConsNormal"/>
        <w:widowControl/>
        <w:tabs>
          <w:tab w:val="left" w:pos="709"/>
        </w:tabs>
        <w:ind w:left="710" w:right="0" w:firstLine="0"/>
        <w:jc w:val="both"/>
        <w:rPr>
          <w:rFonts w:ascii="Verdana" w:hAnsi="Verdana" w:cs="Times New Roman"/>
          <w:color w:val="0070C0"/>
        </w:rPr>
      </w:pPr>
      <w:r w:rsidRPr="00A3452B">
        <w:rPr>
          <w:rFonts w:ascii="Verdana" w:hAnsi="Verdana" w:cs="Times New Roman"/>
          <w:color w:val="0070C0"/>
        </w:rPr>
        <w:t xml:space="preserve">3) </w:t>
      </w:r>
      <w:r>
        <w:rPr>
          <w:rFonts w:ascii="Verdana" w:hAnsi="Verdana" w:cs="Times New Roman"/>
          <w:color w:val="0070C0"/>
        </w:rPr>
        <w:t>Жилец 3</w:t>
      </w:r>
      <w:r w:rsidRPr="00A3452B">
        <w:rPr>
          <w:rFonts w:ascii="Verdana" w:hAnsi="Verdana" w:cs="Times New Roman"/>
          <w:color w:val="0070C0"/>
        </w:rPr>
        <w:t xml:space="preserve">, </w:t>
      </w:r>
      <w:r>
        <w:rPr>
          <w:rFonts w:ascii="Verdana" w:hAnsi="Verdana" w:cs="Times New Roman"/>
          <w:color w:val="0070C0"/>
        </w:rPr>
        <w:t>Х.Х.</w:t>
      </w:r>
      <w:r w:rsidR="00BE10D4">
        <w:rPr>
          <w:rFonts w:ascii="Verdana" w:hAnsi="Verdana" w:cs="Times New Roman"/>
          <w:color w:val="0070C0"/>
        </w:rPr>
        <w:t>2012</w:t>
      </w:r>
      <w:r w:rsidRPr="00A3452B">
        <w:rPr>
          <w:rFonts w:ascii="Verdana" w:hAnsi="Verdana" w:cs="Times New Roman"/>
          <w:color w:val="0070C0"/>
        </w:rPr>
        <w:t xml:space="preserve"> г.р.</w:t>
      </w:r>
    </w:p>
    <w:bookmarkEnd w:id="2"/>
    <w:p w14:paraId="439A2192" w14:textId="1B89EAF4" w:rsidR="00C05422" w:rsidRDefault="00E775AE" w:rsidP="00E775A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70C0"/>
        </w:rPr>
      </w:pPr>
      <w:r w:rsidRPr="00AE2E7F">
        <w:rPr>
          <w:rFonts w:ascii="Verdana" w:hAnsi="Verdana" w:cs="Times New Roman"/>
          <w:color w:val="0070C0"/>
        </w:rPr>
        <w:t xml:space="preserve">Покупатель </w:t>
      </w:r>
      <w:r w:rsidR="00C70987">
        <w:rPr>
          <w:rFonts w:ascii="Verdana" w:hAnsi="Verdana" w:cs="Times New Roman"/>
          <w:color w:val="0070C0"/>
        </w:rPr>
        <w:t>оповещен</w:t>
      </w:r>
      <w:r w:rsidRPr="00AE2E7F">
        <w:rPr>
          <w:rFonts w:ascii="Verdana" w:hAnsi="Verdana" w:cs="Times New Roman"/>
          <w:color w:val="0070C0"/>
        </w:rPr>
        <w:t xml:space="preserve"> о </w:t>
      </w:r>
      <w:r w:rsidR="00756EE6">
        <w:rPr>
          <w:rFonts w:ascii="Verdana" w:hAnsi="Verdana" w:cs="Times New Roman"/>
          <w:color w:val="0070C0"/>
        </w:rPr>
        <w:t>поданном исковом заявлении в Приморский районный суд Архангельской обл. о признании утратившим права пользования жилым помещением, снятии с регистрационного учета и выселении</w:t>
      </w:r>
      <w:r w:rsidR="00C05422" w:rsidRPr="00C05422">
        <w:rPr>
          <w:rFonts w:ascii="Verdana" w:hAnsi="Verdana" w:cs="Times New Roman"/>
          <w:color w:val="0070C0"/>
        </w:rPr>
        <w:t xml:space="preserve"> и осознает последствия принятых судебных актов в рамках искового производства.</w:t>
      </w:r>
    </w:p>
    <w:p w14:paraId="15BDF080" w14:textId="6040A843" w:rsidR="008F3B6C" w:rsidRDefault="008F3B6C" w:rsidP="00E775A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70C0"/>
        </w:rPr>
      </w:pPr>
      <w:r w:rsidRPr="008F3B6C">
        <w:rPr>
          <w:rFonts w:ascii="Verdana" w:hAnsi="Verdana" w:cs="Times New Roman"/>
          <w:color w:val="0070C0"/>
        </w:rPr>
        <w:t xml:space="preserve">Покупатель после приобретения самостоятельно производит замену стороны в </w:t>
      </w:r>
      <w:r w:rsidR="00E140A5">
        <w:rPr>
          <w:rFonts w:ascii="Verdana" w:hAnsi="Verdana" w:cs="Times New Roman"/>
          <w:color w:val="0070C0"/>
        </w:rPr>
        <w:t xml:space="preserve">суде (при необходимости), </w:t>
      </w:r>
      <w:r w:rsidR="006B1EC9">
        <w:rPr>
          <w:rFonts w:ascii="Verdana" w:hAnsi="Verdana" w:cs="Times New Roman"/>
          <w:color w:val="0070C0"/>
        </w:rPr>
        <w:t>исполнительн</w:t>
      </w:r>
      <w:r w:rsidR="006B1EC9" w:rsidRPr="008F3B6C">
        <w:rPr>
          <w:rFonts w:ascii="Verdana" w:hAnsi="Verdana" w:cs="Times New Roman"/>
          <w:color w:val="0070C0"/>
        </w:rPr>
        <w:t xml:space="preserve">ом </w:t>
      </w:r>
      <w:r w:rsidRPr="008F3B6C">
        <w:rPr>
          <w:rFonts w:ascii="Verdana" w:hAnsi="Verdana" w:cs="Times New Roman"/>
          <w:color w:val="0070C0"/>
        </w:rPr>
        <w:t xml:space="preserve">производстве и/или самостоятельно проводит мероприятия по </w:t>
      </w:r>
      <w:r w:rsidR="00E140A5">
        <w:rPr>
          <w:rFonts w:ascii="Verdana" w:hAnsi="Verdana" w:cs="Times New Roman"/>
          <w:color w:val="0070C0"/>
        </w:rPr>
        <w:t xml:space="preserve">участию в судебном процессе (при необходимости) и </w:t>
      </w:r>
      <w:r w:rsidRPr="008F3B6C">
        <w:rPr>
          <w:rFonts w:ascii="Verdana" w:hAnsi="Verdana" w:cs="Times New Roman"/>
          <w:color w:val="0070C0"/>
        </w:rPr>
        <w:t xml:space="preserve">исполнению решения суда о признании утратившими право пользования </w:t>
      </w:r>
      <w:r w:rsidR="006E677F">
        <w:rPr>
          <w:rFonts w:ascii="Verdana" w:hAnsi="Verdana" w:cs="Times New Roman"/>
          <w:color w:val="0070C0"/>
        </w:rPr>
        <w:t>недвижимым имуществом</w:t>
      </w:r>
      <w:r w:rsidRPr="008F3B6C">
        <w:rPr>
          <w:rFonts w:ascii="Verdana" w:hAnsi="Verdana" w:cs="Times New Roman"/>
          <w:color w:val="0070C0"/>
        </w:rPr>
        <w:t xml:space="preserve"> и выселении третьих лиц.</w:t>
      </w:r>
    </w:p>
    <w:p w14:paraId="2B83F566" w14:textId="45299A6F" w:rsidR="007E6B14" w:rsidRDefault="00C70987" w:rsidP="00E775A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70C0"/>
        </w:rPr>
      </w:pPr>
      <w:r w:rsidRPr="00C70987">
        <w:rPr>
          <w:rFonts w:ascii="Verdana" w:hAnsi="Verdana" w:cs="Times New Roman"/>
          <w:color w:val="0070C0"/>
        </w:rPr>
        <w:t>Расходы, понесенные Покупателем в связи с проведением вышеуказанных мероприятий, не подлежат компенсации Продавцом и не уменьшают цену недвижимого имущества.</w:t>
      </w:r>
    </w:p>
    <w:p w14:paraId="5133171C" w14:textId="77777777" w:rsidR="00762D43" w:rsidRPr="00762D43" w:rsidRDefault="00E22831" w:rsidP="00E22831">
      <w:pPr>
        <w:pStyle w:val="ConsNormal"/>
        <w:widowControl/>
        <w:numPr>
          <w:ilvl w:val="1"/>
          <w:numId w:val="35"/>
        </w:numPr>
        <w:tabs>
          <w:tab w:val="left" w:pos="709"/>
        </w:tabs>
        <w:ind w:left="0" w:right="0" w:firstLine="710"/>
        <w:jc w:val="both"/>
        <w:rPr>
          <w:rFonts w:ascii="Verdana" w:hAnsi="Verdana" w:cs="Times New Roman"/>
        </w:rPr>
      </w:pPr>
      <w:r w:rsidRPr="00762D43">
        <w:rPr>
          <w:rFonts w:ascii="Verdana" w:hAnsi="Verdana" w:cs="Times New Roman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E56E83" w14:textId="77777777" w:rsidR="004E4335" w:rsidRPr="00E631F1" w:rsidRDefault="004E4335" w:rsidP="00E22831">
      <w:pPr>
        <w:pStyle w:val="ConsNormal"/>
        <w:widowControl/>
        <w:tabs>
          <w:tab w:val="left" w:pos="709"/>
        </w:tabs>
        <w:ind w:left="710" w:right="0" w:firstLine="0"/>
        <w:jc w:val="both"/>
        <w:rPr>
          <w:rFonts w:ascii="Verdana" w:hAnsi="Verdana" w:cs="Times New Roman"/>
          <w:color w:val="0070C0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0A5EA5" w14:textId="6FC7221C" w:rsidR="009D3F17" w:rsidRDefault="00390AE0" w:rsidP="009D3F1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851"/>
        <w:jc w:val="both"/>
        <w:rPr>
          <w:rFonts w:ascii="Verdana" w:hAnsi="Verdana"/>
        </w:rPr>
      </w:pPr>
      <w:r w:rsidRPr="009D3F17">
        <w:rPr>
          <w:rFonts w:ascii="Verdana" w:hAnsi="Verdana"/>
        </w:rPr>
        <w:t xml:space="preserve">Цена недвижимого имущества составляет ______________________ </w:t>
      </w:r>
      <w:r w:rsidR="009D3F17" w:rsidRPr="00C23FDB">
        <w:rPr>
          <w:rFonts w:ascii="Verdana" w:hAnsi="Verdana"/>
        </w:rPr>
        <w:t>(__________________) рублей ___ копеек</w:t>
      </w:r>
      <w:r w:rsidR="006E0AAD">
        <w:rPr>
          <w:rFonts w:ascii="Verdana" w:hAnsi="Verdana"/>
        </w:rPr>
        <w:t>,</w:t>
      </w:r>
      <w:r w:rsidR="009D3F17" w:rsidRPr="00C23FDB">
        <w:rPr>
          <w:rFonts w:ascii="Verdana" w:hAnsi="Verdana"/>
        </w:rPr>
        <w:t xml:space="preserve"> </w:t>
      </w:r>
      <w:r w:rsidR="006E0AAD" w:rsidRPr="00214013">
        <w:rPr>
          <w:rFonts w:ascii="Verdana" w:hAnsi="Verdana"/>
        </w:rPr>
        <w:t>НДС не облагается на основании пп.22 п.3 ст.149 Налогового кодекса Российской Федерации</w:t>
      </w:r>
      <w:r w:rsidR="009D3F17" w:rsidRPr="00C23FDB">
        <w:rPr>
          <w:rFonts w:ascii="Verdana" w:hAnsi="Verdana"/>
        </w:rPr>
        <w:t>.</w:t>
      </w:r>
    </w:p>
    <w:p w14:paraId="035FDEC3" w14:textId="18A6FF5B" w:rsidR="00A24FDA" w:rsidRPr="007051FF" w:rsidRDefault="00C131F7" w:rsidP="000166C4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311AD7A3" w:rsidR="006955DD" w:rsidRPr="007051FF" w:rsidRDefault="006955DD" w:rsidP="002E1A8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в том числе </w:t>
            </w:r>
            <w:r w:rsidR="008E211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09E52A1E" w14:textId="5BE37010" w:rsidR="006955DD" w:rsidRPr="007051FF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в том числе </w:t>
            </w:r>
            <w:r w:rsidR="008E2117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(далее - </w:t>
            </w:r>
            <w:r w:rsidRPr="007051FF">
              <w:rPr>
                <w:rFonts w:ascii="Verdana" w:hAnsi="Verdana" w:cs="Arial"/>
                <w:sz w:val="20"/>
                <w:szCs w:val="20"/>
              </w:rPr>
              <w:lastRenderedPageBreak/>
              <w:t>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2E1A8E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24D40641" w:rsidR="006955DD" w:rsidRPr="008509DF" w:rsidRDefault="006955DD" w:rsidP="00AC4E2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FC6C1E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DB0B40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том числе </w:t>
            </w:r>
            <w:r w:rsidR="00FF086E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2E1A8E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38F46CB4" w:rsidR="006955DD" w:rsidRPr="006955DD" w:rsidRDefault="006955DD" w:rsidP="00AC4E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2.2.1</w:t>
            </w:r>
            <w:r w:rsidR="00C7758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2604D9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том числе </w:t>
            </w:r>
            <w:r w:rsidR="00FF086E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73D7BFA" w14:textId="4B6F9080" w:rsidR="005E3BD8" w:rsidRPr="00214013" w:rsidRDefault="006955DD" w:rsidP="000166C4">
      <w:pPr>
        <w:pStyle w:val="a5"/>
        <w:ind w:left="0"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991700">
        <w:rPr>
          <w:rFonts w:ascii="Verdana" w:hAnsi="Verdana"/>
          <w:i/>
          <w:color w:val="0070C0"/>
        </w:rPr>
        <w:t>204 200</w:t>
      </w:r>
      <w:r w:rsidR="00526DE4" w:rsidRPr="00526DE4">
        <w:rPr>
          <w:rFonts w:ascii="Verdana" w:hAnsi="Verdana"/>
          <w:i/>
          <w:color w:val="0070C0"/>
        </w:rPr>
        <w:t>,00</w:t>
      </w:r>
      <w:r w:rsidR="00103BE7" w:rsidRPr="008076AD">
        <w:rPr>
          <w:rFonts w:ascii="Verdana" w:hAnsi="Verdana"/>
          <w:i/>
          <w:color w:val="0070C0"/>
        </w:rPr>
        <w:t xml:space="preserve"> (</w:t>
      </w:r>
      <w:r w:rsidR="00991700">
        <w:rPr>
          <w:rFonts w:ascii="Verdana" w:hAnsi="Verdana"/>
          <w:i/>
          <w:color w:val="0070C0"/>
        </w:rPr>
        <w:t xml:space="preserve">двести четыре </w:t>
      </w:r>
      <w:r w:rsidR="00526DE4">
        <w:rPr>
          <w:rFonts w:ascii="Verdana" w:hAnsi="Verdana"/>
          <w:i/>
          <w:color w:val="0070C0"/>
        </w:rPr>
        <w:t>тысяч</w:t>
      </w:r>
      <w:r w:rsidR="00991700">
        <w:rPr>
          <w:rFonts w:ascii="Verdana" w:hAnsi="Verdana"/>
          <w:i/>
          <w:color w:val="0070C0"/>
        </w:rPr>
        <w:t>и</w:t>
      </w:r>
      <w:r w:rsidR="00526DE4">
        <w:rPr>
          <w:rFonts w:ascii="Verdana" w:hAnsi="Verdana"/>
          <w:i/>
          <w:color w:val="0070C0"/>
        </w:rPr>
        <w:t xml:space="preserve"> </w:t>
      </w:r>
      <w:r w:rsidR="00991700">
        <w:rPr>
          <w:rFonts w:ascii="Verdana" w:hAnsi="Verdana"/>
          <w:i/>
          <w:color w:val="0070C0"/>
        </w:rPr>
        <w:t>двести</w:t>
      </w:r>
      <w:r w:rsidR="00103BE7" w:rsidRPr="008076AD">
        <w:rPr>
          <w:rFonts w:ascii="Verdana" w:hAnsi="Verdana"/>
          <w:i/>
          <w:color w:val="0070C0"/>
        </w:rPr>
        <w:t>)</w:t>
      </w:r>
      <w:r w:rsidR="00103BE7"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446BEE" w:rsidRPr="00446BEE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>(</w:t>
      </w:r>
      <w:r w:rsidR="00103BE7" w:rsidRPr="00CA798B">
        <w:rPr>
          <w:rFonts w:ascii="Verdana" w:hAnsi="Verdana"/>
          <w:i/>
          <w:color w:val="0070C0"/>
        </w:rPr>
        <w:t>НДС</w:t>
      </w:r>
      <w:r w:rsidR="00526DE4">
        <w:rPr>
          <w:rFonts w:ascii="Verdana" w:hAnsi="Verdana"/>
          <w:i/>
          <w:color w:val="0070C0"/>
        </w:rPr>
        <w:t xml:space="preserve"> не облагается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 xml:space="preserve">Обеспечительного платежа Покупателя в пользу Продавца (ст.  381.1 ГК РФ). </w:t>
      </w:r>
    </w:p>
    <w:p w14:paraId="6CCA0B59" w14:textId="560A9B3D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214013">
        <w:rPr>
          <w:rFonts w:ascii="Verdana" w:hAnsi="Verdana"/>
        </w:rPr>
        <w:t>п.п</w:t>
      </w:r>
      <w:proofErr w:type="spellEnd"/>
      <w:r w:rsidRPr="00214013">
        <w:rPr>
          <w:rFonts w:ascii="Verdana" w:hAnsi="Verdana"/>
        </w:rPr>
        <w:t>. 2.2.1 Договора),</w:t>
      </w:r>
      <w:r w:rsidRPr="00214013">
        <w:t xml:space="preserve"> </w:t>
      </w:r>
      <w:r w:rsidR="00643958" w:rsidRPr="00214013">
        <w:rPr>
          <w:rFonts w:ascii="Verdana" w:hAnsi="Verdana" w:cs="Verdana"/>
        </w:rPr>
        <w:t xml:space="preserve">на счет Продавца, указанный в разделе </w:t>
      </w:r>
      <w:r w:rsidR="00643958">
        <w:rPr>
          <w:rFonts w:ascii="Verdana" w:hAnsi="Verdana" w:cs="Verdana"/>
          <w:i/>
          <w:iCs/>
          <w:color w:val="0082BF"/>
        </w:rPr>
        <w:t>1</w:t>
      </w:r>
      <w:r w:rsidR="00643958" w:rsidRPr="00DF5C9F">
        <w:rPr>
          <w:rFonts w:ascii="Verdana" w:hAnsi="Verdana" w:cs="Verdana"/>
          <w:i/>
          <w:iCs/>
          <w:color w:val="0082BF"/>
        </w:rPr>
        <w:t>2</w:t>
      </w:r>
      <w:r w:rsidR="00643958" w:rsidRPr="00214013">
        <w:rPr>
          <w:rFonts w:ascii="Verdana" w:hAnsi="Verdana"/>
        </w:rPr>
        <w:t xml:space="preserve"> </w:t>
      </w:r>
      <w:r w:rsidR="00643958" w:rsidRPr="00214013">
        <w:rPr>
          <w:rFonts w:ascii="Verdana" w:hAnsi="Verdana" w:cs="Verdana"/>
        </w:rPr>
        <w:t>Договора</w:t>
      </w:r>
      <w:r w:rsidRPr="00214013">
        <w:rPr>
          <w:rFonts w:ascii="Verdana" w:hAnsi="Verdana"/>
        </w:rPr>
        <w:t>.</w:t>
      </w:r>
    </w:p>
    <w:p w14:paraId="1E2233E5" w14:textId="77777777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699D9F04" w:rsidR="005E3BD8" w:rsidRDefault="005E3BD8" w:rsidP="009D7DAC">
      <w:pPr>
        <w:pStyle w:val="a5"/>
        <w:ind w:left="0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017919">
        <w:rPr>
          <w:rFonts w:ascii="Verdana" w:hAnsi="Verdana"/>
        </w:rPr>
        <w:t xml:space="preserve"> в момент</w:t>
      </w:r>
      <w:r w:rsidR="00205FC6">
        <w:rPr>
          <w:rFonts w:ascii="Verdana" w:hAnsi="Verdana"/>
        </w:rPr>
        <w:t xml:space="preserve"> </w:t>
      </w:r>
      <w:r w:rsidR="00017919" w:rsidRPr="00214013">
        <w:rPr>
          <w:rFonts w:ascii="Verdana" w:hAnsi="Verdana"/>
        </w:rPr>
        <w:t>наступлени</w:t>
      </w:r>
      <w:r w:rsidR="00017919">
        <w:rPr>
          <w:rFonts w:ascii="Verdana" w:hAnsi="Verdana"/>
        </w:rPr>
        <w:t>я</w:t>
      </w:r>
      <w:r w:rsidR="00017919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 w:rsidR="004917C1"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 w:rsidR="00180C77"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>(</w:t>
      </w:r>
      <w:r w:rsidR="004B2B1B" w:rsidRPr="00CA798B">
        <w:rPr>
          <w:rFonts w:ascii="Verdana" w:hAnsi="Verdana"/>
          <w:i/>
          <w:color w:val="0070C0"/>
        </w:rPr>
        <w:t>НДС</w:t>
      </w:r>
      <w:r w:rsidR="004B2B1B">
        <w:rPr>
          <w:rFonts w:ascii="Verdana" w:hAnsi="Verdana"/>
          <w:i/>
          <w:color w:val="0070C0"/>
        </w:rPr>
        <w:t xml:space="preserve"> не облагается</w:t>
      </w:r>
      <w:r w:rsidRPr="00214013">
        <w:rPr>
          <w:rFonts w:ascii="Verdana" w:hAnsi="Verdana" w:cs="Verdana"/>
          <w:i/>
          <w:iCs/>
          <w:color w:val="0082BF"/>
        </w:rPr>
        <w:t>)</w:t>
      </w:r>
      <w:r>
        <w:rPr>
          <w:rFonts w:ascii="Verdana" w:hAnsi="Verdana" w:cs="Verdana"/>
          <w:i/>
          <w:iCs/>
          <w:color w:val="0082BF"/>
        </w:rPr>
        <w:t>.</w:t>
      </w:r>
    </w:p>
    <w:p w14:paraId="2E7B59D8" w14:textId="77777777" w:rsidR="00F66430" w:rsidRPr="00214013" w:rsidRDefault="00F66430" w:rsidP="009D7DAC">
      <w:pPr>
        <w:pStyle w:val="a5"/>
        <w:ind w:left="0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3944B321" w14:textId="4D328F8E" w:rsidR="006955DD" w:rsidRDefault="00F66430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proofErr w:type="spellStart"/>
      <w:r>
        <w:rPr>
          <w:rFonts w:ascii="Verdana" w:hAnsi="Verdana" w:cs="Verdana"/>
          <w:color w:val="000000"/>
        </w:rPr>
        <w:t>ненаступления</w:t>
      </w:r>
      <w:proofErr w:type="spellEnd"/>
      <w:r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Продавца.</w:t>
      </w:r>
    </w:p>
    <w:p w14:paraId="396F8EDE" w14:textId="45C74C45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5E3BD8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12</w:t>
      </w:r>
      <w:r w:rsidR="005E3BD8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4F4D27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3F4EFAD6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38D58B6D" w:rsidR="00F54327" w:rsidRPr="008509DF" w:rsidRDefault="00CE777E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54327"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863765">
        <w:tc>
          <w:tcPr>
            <w:tcW w:w="2410" w:type="dxa"/>
          </w:tcPr>
          <w:p w14:paraId="7CD190F0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432230EE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352B1F5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0E737D5" w14:textId="4E7A8E8F" w:rsidR="00970FDF" w:rsidRDefault="00970FDF" w:rsidP="00970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(ноль целых одна сотая)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476A2578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20650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Pr="00F20650">
        <w:rPr>
          <w:rFonts w:ascii="Verdana" w:hAnsi="Verdana"/>
          <w:sz w:val="20"/>
          <w:szCs w:val="20"/>
        </w:rPr>
        <w:t xml:space="preserve"> </w:t>
      </w:r>
      <w:r w:rsidRPr="00F206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="00970F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(ноль целых одна сотая) </w:t>
      </w:r>
      <w:r w:rsidRPr="00F20650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Настоящий Договор вступает в силу с даты его подписания Сторонами и </w:t>
      </w:r>
      <w:r w:rsidRPr="008509DF">
        <w:rPr>
          <w:rFonts w:ascii="Verdana" w:hAnsi="Verdana"/>
        </w:rPr>
        <w:lastRenderedPageBreak/>
        <w:t>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3441C107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0D293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0B54B6F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правом Российской Федерации как коррупционные правонарушения, в том числе дача взятки, получение 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15362D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863765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863765">
        <w:tc>
          <w:tcPr>
            <w:tcW w:w="1736" w:type="dxa"/>
            <w:shd w:val="clear" w:color="auto" w:fill="auto"/>
          </w:tcPr>
          <w:p w14:paraId="77FDCB6A" w14:textId="0547950C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863765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863765">
              <w:tc>
                <w:tcPr>
                  <w:tcW w:w="7609" w:type="dxa"/>
                </w:tcPr>
                <w:p w14:paraId="5E5084A3" w14:textId="5A9516F5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863765">
              <w:tc>
                <w:tcPr>
                  <w:tcW w:w="7609" w:type="dxa"/>
                </w:tcPr>
                <w:p w14:paraId="7B2875BF" w14:textId="77777777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86376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86376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863765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86376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252"/>
      </w:tblGrid>
      <w:tr w:rsidR="004816A7" w:rsidRPr="008509DF" w14:paraId="2FBABC2C" w14:textId="77777777" w:rsidTr="006C3331">
        <w:trPr>
          <w:trHeight w:val="274"/>
        </w:trPr>
        <w:tc>
          <w:tcPr>
            <w:tcW w:w="5103" w:type="dxa"/>
            <w:shd w:val="clear" w:color="auto" w:fill="auto"/>
          </w:tcPr>
          <w:p w14:paraId="0A71A104" w14:textId="20AA5C94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4252" w:type="dxa"/>
            <w:shd w:val="clear" w:color="auto" w:fill="auto"/>
          </w:tcPr>
          <w:p w14:paraId="443ABB3E" w14:textId="765498F4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D79E5" w:rsidRPr="008509DF" w14:paraId="75F256C7" w14:textId="77777777" w:rsidTr="006C3331">
        <w:tc>
          <w:tcPr>
            <w:tcW w:w="5103" w:type="dxa"/>
            <w:shd w:val="clear" w:color="auto" w:fill="auto"/>
          </w:tcPr>
          <w:p w14:paraId="6CF81510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Публичное акционерное общество </w:t>
            </w:r>
          </w:p>
          <w:p w14:paraId="044D01EC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Национальный банк «ТРАСТ»</w:t>
            </w:r>
          </w:p>
          <w:p w14:paraId="194F7EFF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19C7C253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1F769AC8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ИНН 7831001567</w:t>
            </w:r>
          </w:p>
          <w:p w14:paraId="241CC014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КПП 773001001</w:t>
            </w:r>
          </w:p>
          <w:p w14:paraId="7E01756F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к/с № 30101810345250000635 в ГУ</w:t>
            </w:r>
          </w:p>
          <w:p w14:paraId="1903300B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Банка России по Центральному</w:t>
            </w:r>
          </w:p>
          <w:p w14:paraId="2A56CE45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Федеральному Округу</w:t>
            </w:r>
          </w:p>
          <w:p w14:paraId="5F33F05A" w14:textId="77777777" w:rsidR="00FD79E5" w:rsidRPr="00BF5CF8" w:rsidRDefault="00FD79E5" w:rsidP="00FD79E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6E9BB97B" w14:textId="66988AE1" w:rsidR="00FD79E5" w:rsidRPr="008509DF" w:rsidRDefault="00FD79E5" w:rsidP="00FD79E5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БИК 044525635</w:t>
            </w:r>
          </w:p>
        </w:tc>
        <w:tc>
          <w:tcPr>
            <w:tcW w:w="4252" w:type="dxa"/>
            <w:shd w:val="clear" w:color="auto" w:fill="auto"/>
          </w:tcPr>
          <w:p w14:paraId="67279E57" w14:textId="77777777" w:rsidR="00FD79E5" w:rsidRPr="008509DF" w:rsidRDefault="00FD79E5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13081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511339D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</w:t>
      </w:r>
      <w:r w:rsidR="00C12BA7">
        <w:rPr>
          <w:rFonts w:ascii="Verdana" w:hAnsi="Verdana" w:cs="Arial"/>
          <w:color w:val="000000" w:themeColor="text1"/>
          <w:lang w:eastAsia="en-CA"/>
        </w:rPr>
        <w:t xml:space="preserve"> </w:t>
      </w:r>
      <w:r w:rsidRPr="007D2ACC">
        <w:rPr>
          <w:rFonts w:ascii="Verdana" w:hAnsi="Verdana" w:cs="Arial"/>
          <w:color w:val="000000" w:themeColor="text1"/>
          <w:lang w:eastAsia="en-CA"/>
        </w:rPr>
        <w:t>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863765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863765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863765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863765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863765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863765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863765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863765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863765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863765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59E7D889" w14:textId="5789608B" w:rsidR="006736D1" w:rsidRPr="007F1239" w:rsidRDefault="006736D1" w:rsidP="00B910C5">
            <w:pPr>
              <w:spacing w:after="0" w:line="240" w:lineRule="auto"/>
              <w:ind w:firstLine="56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Квартира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назначение: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жилое, вид жилого помещения: квартира,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кадастровый номер 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Pr="007F1239">
              <w:rPr>
                <w:sz w:val="20"/>
                <w:szCs w:val="20"/>
              </w:rPr>
              <w:t xml:space="preserve"> </w:t>
            </w:r>
            <w:r w:rsidRPr="00A33B8B">
              <w:rPr>
                <w:rFonts w:ascii="Verdana" w:hAnsi="Verdana"/>
                <w:i/>
                <w:color w:val="0070C0"/>
                <w:sz w:val="20"/>
                <w:szCs w:val="20"/>
              </w:rPr>
              <w:t>29:16:240601:1142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общей площадью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45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., </w:t>
            </w:r>
            <w:r w:rsidRPr="007F1239">
              <w:rPr>
                <w:rFonts w:ascii="Verdana" w:hAnsi="Verdana"/>
                <w:sz w:val="20"/>
                <w:szCs w:val="20"/>
              </w:rPr>
              <w:t>адрес (местонахождение)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Архангельская область,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м.р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-н Приморский,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с.п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Катунинское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п.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Катунино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, ул.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Стрельцова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, д. 1, кв. 22</w:t>
            </w:r>
            <w:r w:rsidRPr="007F1239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67608911" w14:textId="6DAA1C76" w:rsidR="00E06751" w:rsidRDefault="00E06751" w:rsidP="00E06751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863765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86376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691A1DC1" w14:textId="77777777" w:rsidR="006736D1" w:rsidRPr="007F1239" w:rsidRDefault="006736D1" w:rsidP="00B910C5">
            <w:pPr>
              <w:spacing w:after="0" w:line="240" w:lineRule="auto"/>
              <w:ind w:firstLine="56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Квартира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назначение: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жилое, вид жилого помещения: квартира,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кадастровый номер </w:t>
            </w:r>
            <w:r w:rsidRPr="007F123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Pr="007F1239">
              <w:rPr>
                <w:sz w:val="20"/>
                <w:szCs w:val="20"/>
              </w:rPr>
              <w:t xml:space="preserve"> </w:t>
            </w:r>
            <w:r w:rsidRPr="00A33B8B">
              <w:rPr>
                <w:rFonts w:ascii="Verdana" w:hAnsi="Verdana"/>
                <w:i/>
                <w:color w:val="0070C0"/>
                <w:sz w:val="20"/>
                <w:szCs w:val="20"/>
              </w:rPr>
              <w:t>29:16:240601:1142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общей площадью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45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., </w:t>
            </w:r>
            <w:r w:rsidRPr="007F1239">
              <w:rPr>
                <w:rFonts w:ascii="Verdana" w:hAnsi="Verdana"/>
                <w:sz w:val="20"/>
                <w:szCs w:val="20"/>
              </w:rPr>
              <w:t>адрес (местонахождение)</w:t>
            </w:r>
            <w:r w:rsidRPr="007F1239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Pr="007F123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</w:t>
            </w:r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Архангельская область,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м.р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-н Приморский,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с.п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Катунинское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п.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Катунино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, ул.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Стрельцова</w:t>
            </w:r>
            <w:proofErr w:type="spellEnd"/>
            <w:r w:rsidRPr="001A4A7C">
              <w:rPr>
                <w:rFonts w:ascii="Verdana" w:hAnsi="Verdana"/>
                <w:i/>
                <w:color w:val="0070C0"/>
                <w:sz w:val="20"/>
                <w:szCs w:val="20"/>
              </w:rPr>
              <w:t>, д. 1, кв. 22</w:t>
            </w:r>
            <w:r w:rsidRPr="007F1239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29C2CF2F" w14:textId="31931A3D" w:rsidR="0057396E" w:rsidRDefault="0057396E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8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87858" w:rsidRPr="00CD4C14" w14:paraId="73BAB4F2" w14:textId="77777777" w:rsidTr="00015A82">
        <w:tc>
          <w:tcPr>
            <w:tcW w:w="1985" w:type="dxa"/>
            <w:shd w:val="clear" w:color="auto" w:fill="auto"/>
          </w:tcPr>
          <w:p w14:paraId="075100DE" w14:textId="77777777" w:rsidR="00A87858" w:rsidRPr="00CD4C14" w:rsidRDefault="00A87858" w:rsidP="00015A8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499AEC83" w14:textId="77777777" w:rsidR="00A87858" w:rsidRPr="00CD4C14" w:rsidRDefault="00A87858" w:rsidP="00015A8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(кроме земельного участка)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57702957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4EEE0F3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B3884CC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24B5AA1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3FE0A822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289EEB6E" w14:textId="77777777" w:rsidR="00A87858" w:rsidRPr="00CD4C14" w:rsidRDefault="00A87858" w:rsidP="0001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425B1D" w14:textId="77777777" w:rsidR="00A87858" w:rsidRDefault="00A87858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2238139A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4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7D582FB" w14:textId="1A6722C7" w:rsidR="00B910C5" w:rsidRDefault="00667EF0" w:rsidP="00B91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B910C5" w:rsidRPr="00B910C5">
        <w:rPr>
          <w:rFonts w:ascii="Verdana" w:hAnsi="Verdana"/>
          <w:sz w:val="20"/>
          <w:szCs w:val="20"/>
        </w:rPr>
        <w:t xml:space="preserve"> </w:t>
      </w:r>
      <w:r w:rsidR="00B910C5">
        <w:rPr>
          <w:rFonts w:ascii="Verdana" w:hAnsi="Verdana"/>
          <w:sz w:val="20"/>
          <w:szCs w:val="20"/>
        </w:rPr>
        <w:t>__</w:t>
      </w:r>
      <w:r w:rsidR="00B910C5">
        <w:rPr>
          <w:rStyle w:val="af4"/>
          <w:rFonts w:ascii="Verdana" w:hAnsi="Verdana"/>
          <w:i/>
          <w:color w:val="0070C0"/>
          <w:sz w:val="20"/>
          <w:szCs w:val="20"/>
        </w:rPr>
        <w:footnoteReference w:id="5"/>
      </w:r>
      <w:r w:rsidR="00B910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7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863765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8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9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863765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863765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9442924" w14:textId="5018D7CD" w:rsidR="00B910C5" w:rsidRDefault="00BE563C" w:rsidP="00B91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="00B910C5" w:rsidRPr="00B910C5">
        <w:rPr>
          <w:rFonts w:ascii="Verdana" w:hAnsi="Verdana"/>
          <w:i/>
          <w:color w:val="0070C0"/>
          <w:sz w:val="20"/>
          <w:szCs w:val="20"/>
        </w:rPr>
        <w:t xml:space="preserve"> </w:t>
      </w:r>
      <w:r w:rsidR="00B910C5">
        <w:rPr>
          <w:rStyle w:val="af4"/>
          <w:rFonts w:ascii="Verdana" w:hAnsi="Verdana"/>
          <w:i/>
          <w:color w:val="0070C0"/>
          <w:sz w:val="20"/>
          <w:szCs w:val="20"/>
        </w:rPr>
        <w:footnoteReference w:id="10"/>
      </w:r>
      <w:r w:rsidR="00B910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5130046E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</w:t>
      </w:r>
      <w:r w:rsidR="008837A1">
        <w:rPr>
          <w:rFonts w:ascii="Verdana" w:hAnsi="Verdana" w:cs="Arial"/>
          <w:lang w:eastAsia="en-CA"/>
        </w:rPr>
        <w:t xml:space="preserve"> </w:t>
      </w:r>
      <w:r w:rsidRPr="00214013">
        <w:rPr>
          <w:rFonts w:ascii="Verdana" w:hAnsi="Verdana" w:cs="Arial"/>
          <w:lang w:eastAsia="en-CA"/>
        </w:rPr>
        <w:t>_____________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863765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1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8637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BF3C" w14:textId="77777777" w:rsidR="00595F8B" w:rsidRDefault="00595F8B" w:rsidP="00E33D4F">
      <w:pPr>
        <w:spacing w:after="0" w:line="240" w:lineRule="auto"/>
      </w:pPr>
      <w:r>
        <w:separator/>
      </w:r>
    </w:p>
  </w:endnote>
  <w:endnote w:type="continuationSeparator" w:id="0">
    <w:p w14:paraId="3C3C14A7" w14:textId="77777777" w:rsidR="00595F8B" w:rsidRDefault="00595F8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09D82450" w:rsidR="005E6DE3" w:rsidRDefault="005E6D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69D">
          <w:rPr>
            <w:noProof/>
          </w:rPr>
          <w:t>3</w:t>
        </w:r>
        <w:r>
          <w:fldChar w:fldCharType="end"/>
        </w:r>
      </w:p>
    </w:sdtContent>
  </w:sdt>
  <w:p w14:paraId="19746260" w14:textId="77777777" w:rsidR="005E6DE3" w:rsidRDefault="005E6D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2DA6" w14:textId="77777777" w:rsidR="00595F8B" w:rsidRDefault="00595F8B" w:rsidP="00E33D4F">
      <w:pPr>
        <w:spacing w:after="0" w:line="240" w:lineRule="auto"/>
      </w:pPr>
      <w:r>
        <w:separator/>
      </w:r>
    </w:p>
  </w:footnote>
  <w:footnote w:type="continuationSeparator" w:id="0">
    <w:p w14:paraId="5A399B22" w14:textId="77777777" w:rsidR="00595F8B" w:rsidRDefault="00595F8B" w:rsidP="00E33D4F">
      <w:pPr>
        <w:spacing w:after="0" w:line="240" w:lineRule="auto"/>
      </w:pPr>
      <w:r>
        <w:continuationSeparator/>
      </w:r>
    </w:p>
  </w:footnote>
  <w:footnote w:id="1">
    <w:p w14:paraId="3EE52659" w14:textId="77777777" w:rsidR="005E3BD8" w:rsidRPr="00010D96" w:rsidRDefault="005E3BD8" w:rsidP="005E3BD8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3D89A80B" w14:textId="77777777" w:rsidR="00180DA7" w:rsidRPr="00010D96" w:rsidRDefault="00180DA7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3">
    <w:p w14:paraId="65007CE5" w14:textId="77777777" w:rsidR="00180DA7" w:rsidRPr="00010D96" w:rsidRDefault="00180DA7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180DA7" w:rsidRPr="00010D96" w:rsidRDefault="00180DA7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267EC5DE" w14:textId="77777777" w:rsidR="006752D7" w:rsidRPr="00010D96" w:rsidRDefault="006752D7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5">
    <w:p w14:paraId="750E83C3" w14:textId="77777777" w:rsidR="00B910C5" w:rsidRDefault="00B910C5" w:rsidP="00B91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color w:val="FF0000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1.5, </w:t>
      </w:r>
      <w:r>
        <w:rPr>
          <w:rFonts w:ascii="Verdana" w:hAnsi="Verdana"/>
          <w:i/>
          <w:color w:val="FF0000"/>
          <w:sz w:val="16"/>
          <w:szCs w:val="16"/>
        </w:rPr>
        <w:t>10.5/11.5</w:t>
      </w:r>
      <w:r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 </w:t>
      </w:r>
    </w:p>
    <w:p w14:paraId="48E1D2F7" w14:textId="77777777" w:rsidR="00B910C5" w:rsidRDefault="00B910C5" w:rsidP="00B910C5">
      <w:pPr>
        <w:pStyle w:val="af2"/>
      </w:pPr>
    </w:p>
  </w:footnote>
  <w:footnote w:id="6">
    <w:p w14:paraId="65004E66" w14:textId="77777777" w:rsidR="00667EF0" w:rsidRPr="0010369A" w:rsidRDefault="00667EF0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7">
    <w:p w14:paraId="57CC852E" w14:textId="5DF2AC82" w:rsidR="00667EF0" w:rsidRDefault="00667EF0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 w:rsidR="00BB2B1E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BB2B1E"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="00BB2B1E"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="00BB2B1E"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="00BB2B1E"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8">
    <w:p w14:paraId="38CACF0E" w14:textId="77777777" w:rsidR="00BB2B1E" w:rsidRPr="00010D96" w:rsidRDefault="00BB2B1E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9">
    <w:p w14:paraId="57761271" w14:textId="77777777" w:rsidR="00BB2B1E" w:rsidRPr="00010D96" w:rsidRDefault="00BB2B1E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10">
    <w:p w14:paraId="76EB4076" w14:textId="77777777" w:rsidR="00B910C5" w:rsidRDefault="00B910C5" w:rsidP="00B91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color w:val="FF0000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1.5, </w:t>
      </w:r>
      <w:r>
        <w:rPr>
          <w:rFonts w:ascii="Verdana" w:hAnsi="Verdana"/>
          <w:i/>
          <w:color w:val="FF0000"/>
          <w:sz w:val="16"/>
          <w:szCs w:val="16"/>
        </w:rPr>
        <w:t>10.5/11.5</w:t>
      </w:r>
      <w:r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 </w:t>
      </w:r>
    </w:p>
    <w:p w14:paraId="3A14EEC5" w14:textId="77777777" w:rsidR="00B910C5" w:rsidRDefault="00B910C5" w:rsidP="00B910C5">
      <w:pPr>
        <w:pStyle w:val="af2"/>
      </w:pPr>
    </w:p>
  </w:footnote>
  <w:footnote w:id="11">
    <w:p w14:paraId="76457107" w14:textId="77777777" w:rsidR="00BE563C" w:rsidRPr="00737CC6" w:rsidRDefault="00BE563C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D7448D3"/>
    <w:multiLevelType w:val="multilevel"/>
    <w:tmpl w:val="77A0BC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3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66C4"/>
    <w:rsid w:val="00017917"/>
    <w:rsid w:val="00017919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054E"/>
    <w:rsid w:val="000563DC"/>
    <w:rsid w:val="00056D36"/>
    <w:rsid w:val="00061188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67906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A71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58A6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293C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3BE7"/>
    <w:rsid w:val="00106775"/>
    <w:rsid w:val="001102D9"/>
    <w:rsid w:val="00111061"/>
    <w:rsid w:val="00112AB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810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57A49"/>
    <w:rsid w:val="001611D4"/>
    <w:rsid w:val="00162863"/>
    <w:rsid w:val="00163D0E"/>
    <w:rsid w:val="001653ED"/>
    <w:rsid w:val="00165D64"/>
    <w:rsid w:val="00166EC2"/>
    <w:rsid w:val="00167210"/>
    <w:rsid w:val="001676A0"/>
    <w:rsid w:val="00167F8D"/>
    <w:rsid w:val="00170EF0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4A7C"/>
    <w:rsid w:val="001A5132"/>
    <w:rsid w:val="001A52C3"/>
    <w:rsid w:val="001A5772"/>
    <w:rsid w:val="001A609C"/>
    <w:rsid w:val="001A73E7"/>
    <w:rsid w:val="001B190A"/>
    <w:rsid w:val="001B3343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5FC6"/>
    <w:rsid w:val="00206BCE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A9F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4D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7200"/>
    <w:rsid w:val="002C7331"/>
    <w:rsid w:val="002C7D96"/>
    <w:rsid w:val="002D0141"/>
    <w:rsid w:val="002D25A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0C76"/>
    <w:rsid w:val="0037118C"/>
    <w:rsid w:val="0037350E"/>
    <w:rsid w:val="00381D74"/>
    <w:rsid w:val="00382D13"/>
    <w:rsid w:val="00386377"/>
    <w:rsid w:val="00387FA5"/>
    <w:rsid w:val="00390A4F"/>
    <w:rsid w:val="00390AE0"/>
    <w:rsid w:val="00391481"/>
    <w:rsid w:val="00391E62"/>
    <w:rsid w:val="00394EC3"/>
    <w:rsid w:val="00395EF1"/>
    <w:rsid w:val="003961EC"/>
    <w:rsid w:val="003963EB"/>
    <w:rsid w:val="003A0381"/>
    <w:rsid w:val="003A069D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0FF4"/>
    <w:rsid w:val="003C2F19"/>
    <w:rsid w:val="003C33D0"/>
    <w:rsid w:val="003C3529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0ED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2546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2A23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5E07"/>
    <w:rsid w:val="00477406"/>
    <w:rsid w:val="00477B5A"/>
    <w:rsid w:val="00480AF7"/>
    <w:rsid w:val="004816A7"/>
    <w:rsid w:val="00483669"/>
    <w:rsid w:val="004875A5"/>
    <w:rsid w:val="004878AD"/>
    <w:rsid w:val="004879FF"/>
    <w:rsid w:val="0049027B"/>
    <w:rsid w:val="00490F8A"/>
    <w:rsid w:val="004917C1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B1B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116D"/>
    <w:rsid w:val="004E4335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4D27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26DE4"/>
    <w:rsid w:val="00530649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60E89"/>
    <w:rsid w:val="00561244"/>
    <w:rsid w:val="00562169"/>
    <w:rsid w:val="00562322"/>
    <w:rsid w:val="005637CC"/>
    <w:rsid w:val="005658FA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5F8B"/>
    <w:rsid w:val="0059647B"/>
    <w:rsid w:val="005A0605"/>
    <w:rsid w:val="005A0682"/>
    <w:rsid w:val="005A0AE5"/>
    <w:rsid w:val="005A0EDB"/>
    <w:rsid w:val="005A225B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5FE3"/>
    <w:rsid w:val="005D6F2B"/>
    <w:rsid w:val="005D6FB4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36D1"/>
    <w:rsid w:val="006749E2"/>
    <w:rsid w:val="006752D7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1EC9"/>
    <w:rsid w:val="006B245E"/>
    <w:rsid w:val="006B26BF"/>
    <w:rsid w:val="006B56ED"/>
    <w:rsid w:val="006C0A8A"/>
    <w:rsid w:val="006C27F6"/>
    <w:rsid w:val="006C3331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0AAD"/>
    <w:rsid w:val="006E427F"/>
    <w:rsid w:val="006E4A73"/>
    <w:rsid w:val="006E5F18"/>
    <w:rsid w:val="006E677F"/>
    <w:rsid w:val="006E683D"/>
    <w:rsid w:val="006F1197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4FB1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6EE6"/>
    <w:rsid w:val="00757341"/>
    <w:rsid w:val="00757889"/>
    <w:rsid w:val="00760A68"/>
    <w:rsid w:val="00760B9D"/>
    <w:rsid w:val="00761DF7"/>
    <w:rsid w:val="00762D43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2544"/>
    <w:rsid w:val="007E4C88"/>
    <w:rsid w:val="007E570B"/>
    <w:rsid w:val="007E6711"/>
    <w:rsid w:val="007E6B14"/>
    <w:rsid w:val="007F1239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5D08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8EF"/>
    <w:rsid w:val="00825F9E"/>
    <w:rsid w:val="00826653"/>
    <w:rsid w:val="008269D2"/>
    <w:rsid w:val="0083037F"/>
    <w:rsid w:val="00830C4B"/>
    <w:rsid w:val="00832AFB"/>
    <w:rsid w:val="00834104"/>
    <w:rsid w:val="008400A0"/>
    <w:rsid w:val="008403DA"/>
    <w:rsid w:val="00841F2D"/>
    <w:rsid w:val="0084325B"/>
    <w:rsid w:val="00843A63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7A1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2117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3B6C"/>
    <w:rsid w:val="008F55DE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0A2"/>
    <w:rsid w:val="00925715"/>
    <w:rsid w:val="0092687E"/>
    <w:rsid w:val="009304B4"/>
    <w:rsid w:val="00930C3B"/>
    <w:rsid w:val="00935552"/>
    <w:rsid w:val="009372A6"/>
    <w:rsid w:val="00937BE0"/>
    <w:rsid w:val="00940A84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0FDF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1700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2745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3F17"/>
    <w:rsid w:val="009D5429"/>
    <w:rsid w:val="009D56EF"/>
    <w:rsid w:val="009D6025"/>
    <w:rsid w:val="009D769C"/>
    <w:rsid w:val="009D7DA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3B8B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113E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858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49C5"/>
    <w:rsid w:val="00AD709C"/>
    <w:rsid w:val="00AD7A5F"/>
    <w:rsid w:val="00AE0089"/>
    <w:rsid w:val="00AE2E7F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67A9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26F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10C5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10D4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22"/>
    <w:rsid w:val="00C05441"/>
    <w:rsid w:val="00C069BE"/>
    <w:rsid w:val="00C06D1F"/>
    <w:rsid w:val="00C079FE"/>
    <w:rsid w:val="00C108FF"/>
    <w:rsid w:val="00C11257"/>
    <w:rsid w:val="00C12BA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0987"/>
    <w:rsid w:val="00C71C61"/>
    <w:rsid w:val="00C755A2"/>
    <w:rsid w:val="00C75882"/>
    <w:rsid w:val="00C76935"/>
    <w:rsid w:val="00C76DBD"/>
    <w:rsid w:val="00C77588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4943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5110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4D27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465"/>
    <w:rsid w:val="00DA5B8B"/>
    <w:rsid w:val="00DB04D4"/>
    <w:rsid w:val="00DB0B40"/>
    <w:rsid w:val="00DB3FA8"/>
    <w:rsid w:val="00DB6B89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0A5"/>
    <w:rsid w:val="00E14855"/>
    <w:rsid w:val="00E15BBC"/>
    <w:rsid w:val="00E178D7"/>
    <w:rsid w:val="00E219D3"/>
    <w:rsid w:val="00E22831"/>
    <w:rsid w:val="00E22EAE"/>
    <w:rsid w:val="00E23226"/>
    <w:rsid w:val="00E235C4"/>
    <w:rsid w:val="00E2412A"/>
    <w:rsid w:val="00E24F33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1F1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775AE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7CC"/>
    <w:rsid w:val="00EC089E"/>
    <w:rsid w:val="00EC17A9"/>
    <w:rsid w:val="00EC2010"/>
    <w:rsid w:val="00EC3B2D"/>
    <w:rsid w:val="00EC4255"/>
    <w:rsid w:val="00ED1E50"/>
    <w:rsid w:val="00ED1FDA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4AA1"/>
    <w:rsid w:val="00EE5116"/>
    <w:rsid w:val="00EE569A"/>
    <w:rsid w:val="00EE6B56"/>
    <w:rsid w:val="00EE6E60"/>
    <w:rsid w:val="00EF0373"/>
    <w:rsid w:val="00EF283F"/>
    <w:rsid w:val="00EF3014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22C"/>
    <w:rsid w:val="00F165CE"/>
    <w:rsid w:val="00F16A60"/>
    <w:rsid w:val="00F172A9"/>
    <w:rsid w:val="00F179B8"/>
    <w:rsid w:val="00F20650"/>
    <w:rsid w:val="00F209D4"/>
    <w:rsid w:val="00F20EC7"/>
    <w:rsid w:val="00F21607"/>
    <w:rsid w:val="00F23538"/>
    <w:rsid w:val="00F235CE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5CA8"/>
    <w:rsid w:val="00F47A86"/>
    <w:rsid w:val="00F50121"/>
    <w:rsid w:val="00F5200E"/>
    <w:rsid w:val="00F52061"/>
    <w:rsid w:val="00F52EE5"/>
    <w:rsid w:val="00F53D96"/>
    <w:rsid w:val="00F54327"/>
    <w:rsid w:val="00F55CFA"/>
    <w:rsid w:val="00F56FF3"/>
    <w:rsid w:val="00F63164"/>
    <w:rsid w:val="00F64E9C"/>
    <w:rsid w:val="00F66430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1DE"/>
    <w:rsid w:val="00FA42E7"/>
    <w:rsid w:val="00FA570E"/>
    <w:rsid w:val="00FB037F"/>
    <w:rsid w:val="00FB11E2"/>
    <w:rsid w:val="00FB13C0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9E5"/>
    <w:rsid w:val="00FD7EB4"/>
    <w:rsid w:val="00FE10CC"/>
    <w:rsid w:val="00FE184B"/>
    <w:rsid w:val="00FE2008"/>
    <w:rsid w:val="00FE5B56"/>
    <w:rsid w:val="00FE5DAF"/>
    <w:rsid w:val="00FF086E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3379-9AF3-4A63-982F-34CCB83E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6256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4</cp:revision>
  <cp:lastPrinted>2019-10-21T13:14:00Z</cp:lastPrinted>
  <dcterms:created xsi:type="dcterms:W3CDTF">2023-07-31T07:23:00Z</dcterms:created>
  <dcterms:modified xsi:type="dcterms:W3CDTF">2023-10-16T14:59:00Z</dcterms:modified>
</cp:coreProperties>
</file>