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4AF133C" w14:textId="268877B7" w:rsidR="002B6080"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155F83">
        <w:rPr>
          <w:rFonts w:eastAsiaTheme="minorHAnsi"/>
          <w:bCs/>
          <w:sz w:val="24"/>
          <w:szCs w:val="24"/>
          <w:lang w:eastAsia="en-US"/>
        </w:rPr>
        <w:t>п</w:t>
      </w:r>
      <w:r w:rsidR="00155F83" w:rsidRPr="0060116C">
        <w:rPr>
          <w:rFonts w:eastAsiaTheme="minorHAnsi"/>
          <w:bCs/>
          <w:sz w:val="24"/>
          <w:szCs w:val="24"/>
          <w:lang w:eastAsia="en-US"/>
        </w:rPr>
        <w:t xml:space="preserve">рава (требования) по обязательствам ООО «Фабрика орудий лова» </w:t>
      </w:r>
      <w:r w:rsidR="00155F83">
        <w:rPr>
          <w:rFonts w:eastAsiaTheme="minorHAnsi"/>
          <w:bCs/>
          <w:sz w:val="24"/>
          <w:szCs w:val="24"/>
          <w:lang w:eastAsia="en-US"/>
        </w:rPr>
        <w:t xml:space="preserve">(в части </w:t>
      </w:r>
      <w:r w:rsidR="00155F83" w:rsidRPr="00EC3628">
        <w:rPr>
          <w:rFonts w:eastAsiaTheme="minorHAnsi"/>
          <w:bCs/>
          <w:sz w:val="24"/>
          <w:szCs w:val="24"/>
          <w:lang w:eastAsia="en-US"/>
        </w:rPr>
        <w:t xml:space="preserve">требований к заемщику/залогодателю ООО «Фабрика орудий лова», к поручителю ООО «Бест Фиш», к поручителю </w:t>
      </w:r>
      <w:proofErr w:type="spellStart"/>
      <w:r w:rsidR="00155F83" w:rsidRPr="00EC3628">
        <w:rPr>
          <w:rFonts w:eastAsiaTheme="minorHAnsi"/>
          <w:bCs/>
          <w:sz w:val="24"/>
          <w:szCs w:val="24"/>
          <w:lang w:eastAsia="en-US"/>
        </w:rPr>
        <w:t>Биккерт</w:t>
      </w:r>
      <w:proofErr w:type="spellEnd"/>
      <w:r w:rsidR="00155F83" w:rsidRPr="00EC3628">
        <w:rPr>
          <w:rFonts w:eastAsiaTheme="minorHAnsi"/>
          <w:bCs/>
          <w:sz w:val="24"/>
          <w:szCs w:val="24"/>
          <w:lang w:eastAsia="en-US"/>
        </w:rPr>
        <w:t xml:space="preserve"> Виктору </w:t>
      </w:r>
      <w:proofErr w:type="spellStart"/>
      <w:r w:rsidR="00155F83" w:rsidRPr="00EC3628">
        <w:rPr>
          <w:rFonts w:eastAsiaTheme="minorHAnsi"/>
          <w:bCs/>
          <w:sz w:val="24"/>
          <w:szCs w:val="24"/>
          <w:lang w:eastAsia="en-US"/>
        </w:rPr>
        <w:t>Эмануиловичу</w:t>
      </w:r>
      <w:proofErr w:type="spellEnd"/>
      <w:r w:rsidR="00155F83" w:rsidRPr="00EC3628">
        <w:rPr>
          <w:rFonts w:eastAsiaTheme="minorHAnsi"/>
          <w:bCs/>
          <w:sz w:val="24"/>
          <w:szCs w:val="24"/>
          <w:lang w:eastAsia="en-US"/>
        </w:rPr>
        <w:t>)</w:t>
      </w:r>
      <w:r w:rsidR="00155F83">
        <w:rPr>
          <w:rFonts w:eastAsiaTheme="minorHAnsi"/>
          <w:bCs/>
          <w:sz w:val="24"/>
          <w:szCs w:val="24"/>
          <w:lang w:eastAsia="en-US"/>
        </w:rPr>
        <w:t xml:space="preserve"> </w:t>
      </w:r>
      <w:r w:rsidR="00155F83" w:rsidRPr="0060116C">
        <w:rPr>
          <w:rFonts w:eastAsiaTheme="minorHAnsi"/>
          <w:bCs/>
          <w:sz w:val="24"/>
          <w:szCs w:val="24"/>
          <w:lang w:eastAsia="en-US"/>
        </w:rPr>
        <w:t>перед АО</w:t>
      </w:r>
      <w:r w:rsidR="00155F83">
        <w:rPr>
          <w:rFonts w:eastAsiaTheme="minorHAnsi"/>
          <w:bCs/>
          <w:sz w:val="24"/>
          <w:szCs w:val="24"/>
          <w:lang w:eastAsia="en-US"/>
        </w:rPr>
        <w:t> </w:t>
      </w:r>
      <w:r w:rsidR="00155F83" w:rsidRPr="0060116C">
        <w:rPr>
          <w:rFonts w:eastAsiaTheme="minorHAnsi"/>
          <w:bCs/>
          <w:sz w:val="24"/>
          <w:szCs w:val="24"/>
          <w:lang w:eastAsia="en-US"/>
        </w:rPr>
        <w:t>«</w:t>
      </w:r>
      <w:proofErr w:type="spellStart"/>
      <w:r w:rsidR="00155F83" w:rsidRPr="0060116C">
        <w:rPr>
          <w:rFonts w:eastAsiaTheme="minorHAnsi"/>
          <w:bCs/>
          <w:sz w:val="24"/>
          <w:szCs w:val="24"/>
          <w:lang w:eastAsia="en-US"/>
        </w:rPr>
        <w:t>Россельхозбанк</w:t>
      </w:r>
      <w:proofErr w:type="spellEnd"/>
      <w:r w:rsidR="00155F83" w:rsidRPr="0060116C">
        <w:rPr>
          <w:rFonts w:eastAsiaTheme="minorHAnsi"/>
          <w:bCs/>
          <w:sz w:val="24"/>
          <w:szCs w:val="24"/>
          <w:lang w:eastAsia="en-US"/>
        </w:rPr>
        <w:t>» (Сахалинский региональный филиал)</w:t>
      </w:r>
    </w:p>
    <w:p w14:paraId="4C7A7259" w14:textId="77777777" w:rsidR="00F9480E" w:rsidRPr="00E90195" w:rsidRDefault="00F9480E"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24054889"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792113">
        <w:rPr>
          <w:sz w:val="24"/>
          <w:szCs w:val="24"/>
        </w:rPr>
        <w:t>2</w:t>
      </w:r>
      <w:r w:rsidR="00155F83">
        <w:rPr>
          <w:sz w:val="24"/>
          <w:szCs w:val="24"/>
        </w:rPr>
        <w:t>7</w:t>
      </w:r>
      <w:r w:rsidR="000C3648" w:rsidRPr="00E90195">
        <w:rPr>
          <w:sz w:val="24"/>
          <w:szCs w:val="24"/>
        </w:rPr>
        <w:t xml:space="preserve">» </w:t>
      </w:r>
      <w:r w:rsidR="00155F83">
        <w:rPr>
          <w:sz w:val="24"/>
          <w:szCs w:val="24"/>
        </w:rPr>
        <w:t>декабря</w:t>
      </w:r>
      <w:r w:rsidR="00155F83" w:rsidRPr="00E90195">
        <w:rPr>
          <w:sz w:val="24"/>
          <w:szCs w:val="24"/>
        </w:rPr>
        <w:t xml:space="preserve"> </w:t>
      </w:r>
      <w:r w:rsidR="000C3648" w:rsidRPr="00E90195">
        <w:rPr>
          <w:sz w:val="24"/>
          <w:szCs w:val="24"/>
        </w:rPr>
        <w:t>202</w:t>
      </w:r>
      <w:r w:rsidR="006861A8">
        <w:rPr>
          <w:sz w:val="24"/>
          <w:szCs w:val="24"/>
        </w:rPr>
        <w:t>3</w:t>
      </w:r>
      <w:r w:rsidR="000C3648" w:rsidRPr="00E90195">
        <w:rPr>
          <w:sz w:val="24"/>
          <w:szCs w:val="24"/>
        </w:rPr>
        <w:t xml:space="preserve"> по «</w:t>
      </w:r>
      <w:r w:rsidR="00155F83">
        <w:rPr>
          <w:sz w:val="24"/>
          <w:szCs w:val="24"/>
        </w:rPr>
        <w:t>01</w:t>
      </w:r>
      <w:r w:rsidR="000C3648" w:rsidRPr="00E90195">
        <w:rPr>
          <w:sz w:val="24"/>
          <w:szCs w:val="24"/>
        </w:rPr>
        <w:t xml:space="preserve">» </w:t>
      </w:r>
      <w:r w:rsidR="00155F83">
        <w:rPr>
          <w:sz w:val="24"/>
          <w:szCs w:val="24"/>
        </w:rPr>
        <w:t>февраля</w:t>
      </w:r>
      <w:r w:rsidR="000C3648" w:rsidRPr="00E90195">
        <w:rPr>
          <w:sz w:val="24"/>
          <w:szCs w:val="24"/>
        </w:rPr>
        <w:t xml:space="preserve"> </w:t>
      </w:r>
      <w:r w:rsidR="00776EAD" w:rsidRPr="00E90195">
        <w:rPr>
          <w:sz w:val="24"/>
          <w:szCs w:val="24"/>
        </w:rPr>
        <w:t>202</w:t>
      </w:r>
      <w:r w:rsidR="00155F83">
        <w:rPr>
          <w:sz w:val="24"/>
          <w:szCs w:val="24"/>
        </w:rPr>
        <w:t>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D07CD29"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155F83">
        <w:rPr>
          <w:sz w:val="24"/>
          <w:szCs w:val="24"/>
        </w:rPr>
        <w:t>27</w:t>
      </w:r>
      <w:r w:rsidR="00155F83" w:rsidRPr="00E90195">
        <w:rPr>
          <w:sz w:val="24"/>
          <w:szCs w:val="24"/>
        </w:rPr>
        <w:t xml:space="preserve">» </w:t>
      </w:r>
      <w:r w:rsidR="00155F83">
        <w:rPr>
          <w:sz w:val="24"/>
          <w:szCs w:val="24"/>
        </w:rPr>
        <w:t>декабря</w:t>
      </w:r>
      <w:r w:rsidR="00155F83"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2C55D50A"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792113">
        <w:rPr>
          <w:sz w:val="24"/>
          <w:szCs w:val="24"/>
        </w:rPr>
        <w:t>00</w:t>
      </w:r>
      <w:r w:rsidR="000C3648" w:rsidRPr="00E90195">
        <w:rPr>
          <w:sz w:val="24"/>
          <w:szCs w:val="24"/>
        </w:rPr>
        <w:t>:00 по Московскому времени «</w:t>
      </w:r>
      <w:r w:rsidR="00155F83">
        <w:rPr>
          <w:sz w:val="24"/>
          <w:szCs w:val="24"/>
        </w:rPr>
        <w:t>28</w:t>
      </w:r>
      <w:r w:rsidR="00155F83" w:rsidRPr="00E90195">
        <w:rPr>
          <w:sz w:val="24"/>
          <w:szCs w:val="24"/>
        </w:rPr>
        <w:t xml:space="preserve">» </w:t>
      </w:r>
      <w:r w:rsidR="00155F83">
        <w:rPr>
          <w:sz w:val="24"/>
          <w:szCs w:val="24"/>
        </w:rPr>
        <w:t>декабря</w:t>
      </w:r>
      <w:r w:rsidR="00155F83" w:rsidRPr="00E90195">
        <w:rPr>
          <w:sz w:val="24"/>
          <w:szCs w:val="24"/>
        </w:rPr>
        <w:t xml:space="preserve"> </w:t>
      </w:r>
      <w:r w:rsidR="006861A8" w:rsidRPr="00E90195">
        <w:rPr>
          <w:sz w:val="24"/>
          <w:szCs w:val="24"/>
        </w:rPr>
        <w:t>202</w:t>
      </w:r>
      <w:r w:rsidR="006861A8">
        <w:rPr>
          <w:sz w:val="24"/>
          <w:szCs w:val="24"/>
        </w:rPr>
        <w:t>3</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51B6D61B"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155F83">
        <w:rPr>
          <w:sz w:val="24"/>
          <w:szCs w:val="24"/>
        </w:rPr>
        <w:t>23</w:t>
      </w:r>
      <w:r w:rsidR="000C3648" w:rsidRPr="00E90195">
        <w:rPr>
          <w:sz w:val="24"/>
          <w:szCs w:val="24"/>
        </w:rPr>
        <w:t>:</w:t>
      </w:r>
      <w:r w:rsidR="00155F83">
        <w:rPr>
          <w:sz w:val="24"/>
          <w:szCs w:val="24"/>
        </w:rPr>
        <w:t>59</w:t>
      </w:r>
      <w:r w:rsidR="000C3648" w:rsidRPr="00E90195">
        <w:rPr>
          <w:sz w:val="24"/>
          <w:szCs w:val="24"/>
        </w:rPr>
        <w:t xml:space="preserve"> по Московскому времени «</w:t>
      </w:r>
      <w:r w:rsidR="00155F83">
        <w:rPr>
          <w:sz w:val="24"/>
          <w:szCs w:val="24"/>
        </w:rPr>
        <w:t>26</w:t>
      </w:r>
      <w:r w:rsidR="006861A8">
        <w:rPr>
          <w:sz w:val="24"/>
          <w:szCs w:val="24"/>
        </w:rPr>
        <w:t xml:space="preserve">» </w:t>
      </w:r>
      <w:r w:rsidR="0087793B" w:rsidRPr="00C466B4">
        <w:rPr>
          <w:sz w:val="24"/>
          <w:szCs w:val="24"/>
        </w:rPr>
        <w:t>января</w:t>
      </w:r>
      <w:r w:rsidR="00A54663" w:rsidRPr="00C466B4">
        <w:rPr>
          <w:sz w:val="24"/>
          <w:szCs w:val="24"/>
        </w:rPr>
        <w:t xml:space="preserve"> </w:t>
      </w:r>
      <w:r w:rsidR="000C3648" w:rsidRPr="00C466B4">
        <w:rPr>
          <w:sz w:val="24"/>
          <w:szCs w:val="24"/>
        </w:rPr>
        <w:t>202</w:t>
      </w:r>
      <w:r w:rsidR="0087793B" w:rsidRPr="00C466B4">
        <w:rPr>
          <w:sz w:val="24"/>
          <w:szCs w:val="24"/>
        </w:rPr>
        <w:t>4</w:t>
      </w:r>
      <w:r w:rsidR="000C3648" w:rsidRPr="00C466B4">
        <w:rPr>
          <w:sz w:val="24"/>
          <w:szCs w:val="24"/>
        </w:rPr>
        <w:t>.</w:t>
      </w:r>
    </w:p>
    <w:p w14:paraId="6B09F264" w14:textId="77777777" w:rsidR="000C3648" w:rsidRPr="00E90195" w:rsidRDefault="000C3648" w:rsidP="005B163E">
      <w:pPr>
        <w:widowControl w:val="0"/>
        <w:rPr>
          <w:b/>
          <w:bCs/>
          <w:sz w:val="24"/>
          <w:szCs w:val="24"/>
        </w:rPr>
      </w:pPr>
    </w:p>
    <w:p w14:paraId="5D8A5E0C" w14:textId="01171AE8"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155F83">
        <w:rPr>
          <w:sz w:val="24"/>
          <w:szCs w:val="24"/>
        </w:rPr>
        <w:t>31</w:t>
      </w:r>
      <w:r w:rsidR="000C3648" w:rsidRPr="00E90195">
        <w:rPr>
          <w:sz w:val="24"/>
          <w:szCs w:val="24"/>
        </w:rPr>
        <w:t xml:space="preserve">» </w:t>
      </w:r>
      <w:r w:rsidR="00155F83">
        <w:rPr>
          <w:sz w:val="24"/>
          <w:szCs w:val="24"/>
        </w:rPr>
        <w:t>января</w:t>
      </w:r>
      <w:r w:rsidR="009A48C4" w:rsidRPr="00E90195">
        <w:rPr>
          <w:sz w:val="24"/>
          <w:szCs w:val="24"/>
        </w:rPr>
        <w:t xml:space="preserve"> </w:t>
      </w:r>
      <w:r w:rsidR="000C3648" w:rsidRPr="00E90195">
        <w:rPr>
          <w:sz w:val="24"/>
          <w:szCs w:val="24"/>
        </w:rPr>
        <w:t>202</w:t>
      </w:r>
      <w:r w:rsidR="00155F83">
        <w:rPr>
          <w:sz w:val="24"/>
          <w:szCs w:val="24"/>
        </w:rPr>
        <w:t>4</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04B11574"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w:t>
      </w:r>
      <w:r w:rsidR="00155F83">
        <w:rPr>
          <w:sz w:val="24"/>
          <w:szCs w:val="24"/>
        </w:rPr>
        <w:t>31</w:t>
      </w:r>
      <w:r w:rsidR="00155F83" w:rsidRPr="00E90195">
        <w:rPr>
          <w:sz w:val="24"/>
          <w:szCs w:val="24"/>
        </w:rPr>
        <w:t xml:space="preserve">» </w:t>
      </w:r>
      <w:r w:rsidR="00155F83">
        <w:rPr>
          <w:sz w:val="24"/>
          <w:szCs w:val="24"/>
        </w:rPr>
        <w:t>января</w:t>
      </w:r>
      <w:r w:rsidR="00155F83" w:rsidRPr="00E90195">
        <w:rPr>
          <w:sz w:val="24"/>
          <w:szCs w:val="24"/>
        </w:rPr>
        <w:t xml:space="preserve"> 202</w:t>
      </w:r>
      <w:r w:rsidR="00155F83">
        <w:rPr>
          <w:sz w:val="24"/>
          <w:szCs w:val="24"/>
        </w:rPr>
        <w:t>4</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4B9252CD"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F77E45">
        <w:rPr>
          <w:sz w:val="24"/>
          <w:szCs w:val="24"/>
        </w:rPr>
        <w:t>09</w:t>
      </w:r>
      <w:r w:rsidR="000C3648" w:rsidRPr="00E90195">
        <w:rPr>
          <w:sz w:val="24"/>
          <w:szCs w:val="24"/>
        </w:rPr>
        <w:t xml:space="preserve">:00 по Московскому времени </w:t>
      </w:r>
      <w:r w:rsidR="00B17B88" w:rsidRPr="00E90195">
        <w:rPr>
          <w:sz w:val="24"/>
          <w:szCs w:val="24"/>
        </w:rPr>
        <w:t>«</w:t>
      </w:r>
      <w:r w:rsidR="00155F83">
        <w:rPr>
          <w:sz w:val="24"/>
          <w:szCs w:val="24"/>
        </w:rPr>
        <w:t>01</w:t>
      </w:r>
      <w:r w:rsidR="009A48C4" w:rsidRPr="00E90195">
        <w:rPr>
          <w:sz w:val="24"/>
          <w:szCs w:val="24"/>
        </w:rPr>
        <w:t xml:space="preserve">» </w:t>
      </w:r>
      <w:r w:rsidR="00155F83">
        <w:rPr>
          <w:sz w:val="24"/>
          <w:szCs w:val="24"/>
        </w:rPr>
        <w:t>февраля</w:t>
      </w:r>
      <w:r w:rsidR="009A48C4" w:rsidRPr="00E90195">
        <w:rPr>
          <w:sz w:val="24"/>
          <w:szCs w:val="24"/>
        </w:rPr>
        <w:t xml:space="preserve">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20096DD4"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155F83" w:rsidRPr="00E90195">
        <w:rPr>
          <w:sz w:val="24"/>
          <w:szCs w:val="24"/>
        </w:rPr>
        <w:t>«</w:t>
      </w:r>
      <w:r w:rsidR="00155F83">
        <w:rPr>
          <w:sz w:val="24"/>
          <w:szCs w:val="24"/>
        </w:rPr>
        <w:t>01</w:t>
      </w:r>
      <w:r w:rsidR="00155F83" w:rsidRPr="00E90195">
        <w:rPr>
          <w:sz w:val="24"/>
          <w:szCs w:val="24"/>
        </w:rPr>
        <w:t xml:space="preserve">» </w:t>
      </w:r>
      <w:r w:rsidR="00155F83">
        <w:rPr>
          <w:sz w:val="24"/>
          <w:szCs w:val="24"/>
        </w:rPr>
        <w:t>февраля</w:t>
      </w:r>
      <w:r w:rsidR="00155F83" w:rsidRPr="00E90195">
        <w:rPr>
          <w:sz w:val="24"/>
          <w:szCs w:val="24"/>
        </w:rPr>
        <w:t xml:space="preserve"> 202</w:t>
      </w:r>
      <w:r w:rsidR="00155F83">
        <w:rPr>
          <w:sz w:val="24"/>
          <w:szCs w:val="24"/>
        </w:rPr>
        <w:t>4</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657B863C" w14:textId="77777777" w:rsidR="006C1CFA" w:rsidRDefault="006C1CFA" w:rsidP="006C1CFA">
      <w:pPr>
        <w:autoSpaceDE w:val="0"/>
        <w:autoSpaceDN w:val="0"/>
        <w:adjustRightInd w:val="0"/>
        <w:jc w:val="both"/>
        <w:rPr>
          <w:rFonts w:eastAsiaTheme="minorHAnsi"/>
          <w:sz w:val="24"/>
          <w:szCs w:val="24"/>
          <w:lang w:eastAsia="en-US"/>
        </w:rPr>
      </w:pPr>
      <w:r>
        <w:rPr>
          <w:sz w:val="24"/>
          <w:szCs w:val="24"/>
        </w:rPr>
        <w:t>АО «</w:t>
      </w:r>
      <w:proofErr w:type="spellStart"/>
      <w:r>
        <w:rPr>
          <w:sz w:val="24"/>
          <w:szCs w:val="24"/>
        </w:rPr>
        <w:t>Россельхозбанк</w:t>
      </w:r>
      <w:proofErr w:type="spellEnd"/>
      <w:r>
        <w:rPr>
          <w:sz w:val="24"/>
          <w:szCs w:val="24"/>
        </w:rPr>
        <w:t>»</w:t>
      </w:r>
    </w:p>
    <w:p w14:paraId="4ED990E0" w14:textId="77777777" w:rsidR="006C1CFA" w:rsidRDefault="006C1CFA" w:rsidP="006C1CFA">
      <w:pPr>
        <w:autoSpaceDE w:val="0"/>
        <w:autoSpaceDN w:val="0"/>
        <w:adjustRightInd w:val="0"/>
        <w:rPr>
          <w:rFonts w:eastAsiaTheme="minorHAnsi"/>
          <w:color w:val="000000"/>
          <w:sz w:val="24"/>
          <w:szCs w:val="24"/>
          <w:lang w:eastAsia="en-US"/>
        </w:rPr>
      </w:pPr>
      <w:r>
        <w:rPr>
          <w:sz w:val="24"/>
          <w:szCs w:val="24"/>
        </w:rPr>
        <w:t>119034, г. Москва, Гагаринский переулок, д. 3.</w:t>
      </w:r>
    </w:p>
    <w:p w14:paraId="0B97BC7E" w14:textId="204E0721" w:rsidR="006C1CFA" w:rsidRDefault="006C1CFA" w:rsidP="006C1CFA">
      <w:pPr>
        <w:autoSpaceDE w:val="0"/>
        <w:autoSpaceDN w:val="0"/>
        <w:adjustRightInd w:val="0"/>
        <w:rPr>
          <w:rFonts w:eastAsiaTheme="minorHAnsi"/>
          <w:color w:val="000000"/>
          <w:sz w:val="24"/>
          <w:szCs w:val="24"/>
          <w:lang w:eastAsia="en-US"/>
        </w:rPr>
      </w:pPr>
      <w:r>
        <w:rPr>
          <w:sz w:val="24"/>
          <w:szCs w:val="24"/>
        </w:rPr>
        <w:t xml:space="preserve">ИНН 7725114488/КПП </w:t>
      </w:r>
      <w:r w:rsidR="00A972B6" w:rsidRPr="00C466B4">
        <w:rPr>
          <w:sz w:val="24"/>
          <w:szCs w:val="24"/>
        </w:rPr>
        <w:t>770401001</w:t>
      </w:r>
      <w:bookmarkStart w:id="0" w:name="_GoBack"/>
      <w:bookmarkEnd w:id="0"/>
      <w:r>
        <w:rPr>
          <w:sz w:val="24"/>
          <w:szCs w:val="24"/>
        </w:rPr>
        <w:t>/ОГРН 1027700342890</w:t>
      </w:r>
    </w:p>
    <w:p w14:paraId="5726DC74" w14:textId="77777777" w:rsidR="006C1CFA" w:rsidRDefault="006C1CFA" w:rsidP="006C1CFA">
      <w:pPr>
        <w:autoSpaceDE w:val="0"/>
        <w:autoSpaceDN w:val="0"/>
        <w:adjustRightInd w:val="0"/>
        <w:rPr>
          <w:rFonts w:eastAsiaTheme="minorHAnsi"/>
          <w:color w:val="000000"/>
          <w:sz w:val="24"/>
          <w:szCs w:val="24"/>
          <w:lang w:eastAsia="en-US"/>
        </w:rPr>
      </w:pPr>
      <w:r>
        <w:rPr>
          <w:sz w:val="24"/>
          <w:szCs w:val="24"/>
        </w:rPr>
        <w:t xml:space="preserve">БИК 044525111, </w:t>
      </w:r>
      <w:proofErr w:type="spellStart"/>
      <w:r>
        <w:rPr>
          <w:sz w:val="24"/>
          <w:szCs w:val="24"/>
        </w:rPr>
        <w:t>Корр</w:t>
      </w:r>
      <w:proofErr w:type="gramStart"/>
      <w:r>
        <w:rPr>
          <w:sz w:val="24"/>
          <w:szCs w:val="24"/>
        </w:rPr>
        <w:t>.с</w:t>
      </w:r>
      <w:proofErr w:type="gramEnd"/>
      <w:r>
        <w:rPr>
          <w:sz w:val="24"/>
          <w:szCs w:val="24"/>
        </w:rPr>
        <w:t>чет</w:t>
      </w:r>
      <w:proofErr w:type="spellEnd"/>
      <w:r>
        <w:rPr>
          <w:sz w:val="24"/>
          <w:szCs w:val="24"/>
        </w:rPr>
        <w:t xml:space="preserve"> № 30101810200000000111</w:t>
      </w:r>
    </w:p>
    <w:p w14:paraId="08E42E34" w14:textId="77777777" w:rsidR="006C1CFA" w:rsidRDefault="006C1CFA" w:rsidP="006C1CFA">
      <w:pPr>
        <w:autoSpaceDE w:val="0"/>
        <w:autoSpaceDN w:val="0"/>
        <w:adjustRightInd w:val="0"/>
        <w:rPr>
          <w:sz w:val="24"/>
          <w:szCs w:val="24"/>
        </w:rPr>
      </w:pPr>
      <w:r>
        <w:rPr>
          <w:sz w:val="24"/>
          <w:szCs w:val="24"/>
        </w:rPr>
        <w:t xml:space="preserve">в ГУ Банка России по ЦФО </w:t>
      </w:r>
    </w:p>
    <w:p w14:paraId="7708E94C" w14:textId="77777777" w:rsidR="00155F83" w:rsidRPr="00155F83" w:rsidRDefault="00155F83" w:rsidP="00155F83">
      <w:pPr>
        <w:jc w:val="both"/>
        <w:rPr>
          <w:b/>
          <w:sz w:val="24"/>
          <w:szCs w:val="24"/>
        </w:rPr>
      </w:pPr>
      <w:r w:rsidRPr="00155F83">
        <w:rPr>
          <w:b/>
          <w:sz w:val="24"/>
          <w:szCs w:val="24"/>
        </w:rPr>
        <w:t>Сахалинский региональный филиал АО «</w:t>
      </w:r>
      <w:proofErr w:type="spellStart"/>
      <w:r w:rsidRPr="00155F83">
        <w:rPr>
          <w:b/>
          <w:sz w:val="24"/>
          <w:szCs w:val="24"/>
        </w:rPr>
        <w:t>Россельхозбанк</w:t>
      </w:r>
      <w:proofErr w:type="spellEnd"/>
      <w:r w:rsidRPr="00155F83">
        <w:rPr>
          <w:b/>
          <w:sz w:val="24"/>
          <w:szCs w:val="24"/>
        </w:rPr>
        <w:t>»</w:t>
      </w:r>
    </w:p>
    <w:p w14:paraId="2BEAFFBF" w14:textId="77777777" w:rsidR="00155F83" w:rsidRPr="000A172F" w:rsidRDefault="00155F83" w:rsidP="00155F83">
      <w:pPr>
        <w:jc w:val="both"/>
        <w:rPr>
          <w:sz w:val="24"/>
          <w:szCs w:val="24"/>
        </w:rPr>
      </w:pPr>
      <w:r w:rsidRPr="000A172F">
        <w:rPr>
          <w:sz w:val="24"/>
          <w:szCs w:val="24"/>
        </w:rPr>
        <w:t>Адрес местонахождения: 693020, Сахалинская область,</w:t>
      </w:r>
    </w:p>
    <w:p w14:paraId="71621508" w14:textId="77777777" w:rsidR="00155F83" w:rsidRPr="000A172F" w:rsidRDefault="00155F83" w:rsidP="00155F83">
      <w:pPr>
        <w:jc w:val="both"/>
        <w:rPr>
          <w:sz w:val="24"/>
          <w:szCs w:val="24"/>
        </w:rPr>
      </w:pPr>
      <w:r w:rsidRPr="000A172F">
        <w:rPr>
          <w:sz w:val="24"/>
          <w:szCs w:val="24"/>
        </w:rPr>
        <w:t>г. Южно-Сахалинск, проспект Мира, 107</w:t>
      </w:r>
    </w:p>
    <w:p w14:paraId="5ACDBB28" w14:textId="77777777" w:rsidR="00155F83" w:rsidRPr="000A172F" w:rsidRDefault="00155F83" w:rsidP="00155F83">
      <w:pPr>
        <w:jc w:val="both"/>
        <w:rPr>
          <w:sz w:val="24"/>
          <w:szCs w:val="24"/>
        </w:rPr>
      </w:pPr>
      <w:r w:rsidRPr="000A172F">
        <w:rPr>
          <w:sz w:val="24"/>
          <w:szCs w:val="24"/>
        </w:rPr>
        <w:t>ИНН 7725114488 / КПП 650103001</w:t>
      </w:r>
    </w:p>
    <w:p w14:paraId="2191D310" w14:textId="77777777" w:rsidR="00155F83" w:rsidRPr="000A172F" w:rsidRDefault="00155F83" w:rsidP="00155F83">
      <w:pPr>
        <w:jc w:val="both"/>
        <w:rPr>
          <w:sz w:val="24"/>
          <w:szCs w:val="24"/>
        </w:rPr>
      </w:pPr>
      <w:r w:rsidRPr="000A172F">
        <w:rPr>
          <w:sz w:val="24"/>
          <w:szCs w:val="24"/>
        </w:rPr>
        <w:t>ОГРН 1027700342890</w:t>
      </w:r>
    </w:p>
    <w:p w14:paraId="725AC502" w14:textId="77777777" w:rsidR="00155F83" w:rsidRPr="000A172F" w:rsidRDefault="00155F83" w:rsidP="00155F83">
      <w:pPr>
        <w:jc w:val="both"/>
        <w:rPr>
          <w:sz w:val="24"/>
          <w:szCs w:val="24"/>
        </w:rPr>
      </w:pPr>
      <w:r w:rsidRPr="000A172F">
        <w:rPr>
          <w:sz w:val="24"/>
          <w:szCs w:val="24"/>
        </w:rPr>
        <w:t>БИК 046401747</w:t>
      </w:r>
    </w:p>
    <w:p w14:paraId="1F44C069" w14:textId="77777777" w:rsidR="00155F83" w:rsidRPr="000A172F" w:rsidRDefault="00155F83" w:rsidP="00155F83">
      <w:pPr>
        <w:jc w:val="both"/>
        <w:rPr>
          <w:sz w:val="24"/>
          <w:szCs w:val="24"/>
        </w:rPr>
      </w:pPr>
      <w:proofErr w:type="spellStart"/>
      <w:r w:rsidRPr="000A172F">
        <w:rPr>
          <w:sz w:val="24"/>
          <w:szCs w:val="24"/>
        </w:rPr>
        <w:t>Корр</w:t>
      </w:r>
      <w:proofErr w:type="gramStart"/>
      <w:r w:rsidRPr="000A172F">
        <w:rPr>
          <w:sz w:val="24"/>
          <w:szCs w:val="24"/>
        </w:rPr>
        <w:t>.с</w:t>
      </w:r>
      <w:proofErr w:type="gramEnd"/>
      <w:r w:rsidRPr="000A172F">
        <w:rPr>
          <w:sz w:val="24"/>
          <w:szCs w:val="24"/>
        </w:rPr>
        <w:t>чет</w:t>
      </w:r>
      <w:proofErr w:type="spellEnd"/>
      <w:r w:rsidRPr="000A172F">
        <w:rPr>
          <w:sz w:val="24"/>
          <w:szCs w:val="24"/>
        </w:rPr>
        <w:t xml:space="preserve"> № 30101810500000000747</w:t>
      </w:r>
    </w:p>
    <w:p w14:paraId="3CF569B1" w14:textId="421A1092" w:rsidR="00155F83" w:rsidRDefault="00155F83" w:rsidP="00155F83">
      <w:pPr>
        <w:jc w:val="both"/>
        <w:rPr>
          <w:sz w:val="24"/>
          <w:szCs w:val="24"/>
        </w:rPr>
      </w:pPr>
      <w:r w:rsidRPr="000A172F">
        <w:rPr>
          <w:sz w:val="24"/>
          <w:szCs w:val="24"/>
        </w:rPr>
        <w:t>в Отделении по Сахалинской области</w:t>
      </w:r>
      <w:r>
        <w:rPr>
          <w:sz w:val="24"/>
          <w:szCs w:val="24"/>
        </w:rPr>
        <w:t xml:space="preserve"> </w:t>
      </w:r>
      <w:r w:rsidRPr="00E548A7">
        <w:rPr>
          <w:sz w:val="24"/>
          <w:szCs w:val="24"/>
        </w:rPr>
        <w:t>Дальн</w:t>
      </w:r>
      <w:r>
        <w:rPr>
          <w:sz w:val="24"/>
          <w:szCs w:val="24"/>
        </w:rPr>
        <w:t>евосточного главного управления</w:t>
      </w:r>
    </w:p>
    <w:p w14:paraId="2DE47B40" w14:textId="77777777" w:rsidR="00155F83" w:rsidRDefault="00155F83" w:rsidP="00155F83">
      <w:pPr>
        <w:jc w:val="both"/>
        <w:rPr>
          <w:sz w:val="24"/>
          <w:szCs w:val="24"/>
        </w:rPr>
      </w:pPr>
      <w:r w:rsidRPr="00E548A7">
        <w:rPr>
          <w:sz w:val="24"/>
          <w:szCs w:val="24"/>
        </w:rPr>
        <w:lastRenderedPageBreak/>
        <w:t>Центрального Банка Российской Федерации</w:t>
      </w:r>
    </w:p>
    <w:p w14:paraId="50FE82EA" w14:textId="77777777" w:rsidR="00F77E45" w:rsidRPr="005443C2" w:rsidRDefault="00F77E45" w:rsidP="00F459E5">
      <w:pPr>
        <w:widowControl w:val="0"/>
        <w:jc w:val="both"/>
        <w:rPr>
          <w:sz w:val="24"/>
          <w:szCs w:val="24"/>
        </w:rPr>
      </w:pP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7A931E2F"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155F83" w:rsidRPr="00155F83">
        <w:rPr>
          <w:sz w:val="24"/>
          <w:szCs w:val="24"/>
        </w:rPr>
        <w:t>5% от начальной цены и остаётся единым в течение всего аукциона (торгов)</w:t>
      </w:r>
    </w:p>
    <w:p w14:paraId="6C4C4C12" w14:textId="77777777" w:rsidR="00D256EF" w:rsidRPr="00E90195" w:rsidRDefault="00D256EF" w:rsidP="00D256EF">
      <w:pPr>
        <w:widowControl w:val="0"/>
        <w:rPr>
          <w:b/>
          <w:bCs/>
          <w:sz w:val="24"/>
          <w:szCs w:val="24"/>
        </w:rPr>
      </w:pPr>
    </w:p>
    <w:p w14:paraId="49057F83" w14:textId="40BE5DF6"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9A48C4" w:rsidRPr="009A48C4">
        <w:rPr>
          <w:sz w:val="24"/>
          <w:szCs w:val="24"/>
        </w:rPr>
        <w:t>15 (пятнадцать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0A9825F8"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2B1C09">
        <w:rPr>
          <w:sz w:val="24"/>
          <w:szCs w:val="24"/>
        </w:rPr>
        <w:t>50</w:t>
      </w:r>
      <w:r w:rsidR="00B17ED6">
        <w:rPr>
          <w:sz w:val="24"/>
          <w:szCs w:val="24"/>
        </w:rPr>
        <w:t>0 000</w:t>
      </w:r>
      <w:r w:rsidR="00575FB5" w:rsidRPr="00575FB5">
        <w:rPr>
          <w:sz w:val="24"/>
          <w:szCs w:val="24"/>
        </w:rPr>
        <w:t xml:space="preserve"> (</w:t>
      </w:r>
      <w:r w:rsidR="002B1C09">
        <w:rPr>
          <w:sz w:val="24"/>
          <w:szCs w:val="24"/>
        </w:rPr>
        <w:t>Пятьсот тысяч</w:t>
      </w:r>
      <w:r w:rsidR="006861A8">
        <w:rPr>
          <w:sz w:val="24"/>
          <w:szCs w:val="24"/>
        </w:rPr>
        <w:t xml:space="preserve">) </w:t>
      </w:r>
      <w:r w:rsidR="002327BC">
        <w:rPr>
          <w:sz w:val="24"/>
          <w:szCs w:val="24"/>
        </w:rPr>
        <w:t>рубл</w:t>
      </w:r>
      <w:r w:rsidR="00575FB5">
        <w:rPr>
          <w:sz w:val="24"/>
          <w:szCs w:val="24"/>
        </w:rPr>
        <w:t>ей</w:t>
      </w:r>
      <w:r w:rsidR="006861A8">
        <w:rPr>
          <w:sz w:val="24"/>
          <w:szCs w:val="24"/>
        </w:rPr>
        <w:t xml:space="preserve"> </w:t>
      </w:r>
      <w:r w:rsidR="00575FB5">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5FA55D1F" w:rsidR="00424E22" w:rsidRPr="00E90195" w:rsidRDefault="001E57BF" w:rsidP="00C51739">
      <w:pPr>
        <w:keepNext/>
        <w:keepLines/>
        <w:jc w:val="both"/>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155F83" w:rsidRPr="00155F83">
        <w:rPr>
          <w:sz w:val="24"/>
          <w:szCs w:val="24"/>
        </w:rPr>
        <w:t xml:space="preserve">В течение 5 рабочих дней </w:t>
      </w:r>
      <w:r w:rsidR="00151EEF" w:rsidRPr="00151EEF">
        <w:rPr>
          <w:sz w:val="24"/>
          <w:szCs w:val="24"/>
        </w:rPr>
        <w:t>со дня размещения Итогового протокола на сайте Организатора</w:t>
      </w:r>
    </w:p>
    <w:p w14:paraId="21E0F7C9" w14:textId="77777777" w:rsidR="005B163E" w:rsidRPr="00E90195" w:rsidRDefault="005B163E" w:rsidP="005B163E">
      <w:pPr>
        <w:keepNext/>
        <w:keepLines/>
        <w:rPr>
          <w:b/>
          <w:sz w:val="24"/>
          <w:szCs w:val="24"/>
        </w:rPr>
      </w:pPr>
    </w:p>
    <w:p w14:paraId="704486CD" w14:textId="1B51C42B"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155F83" w:rsidRPr="00155F83">
        <w:rPr>
          <w:sz w:val="24"/>
          <w:szCs w:val="24"/>
        </w:rPr>
        <w:t xml:space="preserve">Не позднее 1 рабочего дня, следующего за датой </w:t>
      </w:r>
      <w:r w:rsidR="002B1C09" w:rsidRPr="002B1C09">
        <w:rPr>
          <w:sz w:val="24"/>
          <w:szCs w:val="24"/>
        </w:rPr>
        <w:t>заключения договора реализации прав (требований)</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877"/>
        <w:gridCol w:w="1560"/>
        <w:gridCol w:w="1774"/>
        <w:gridCol w:w="1467"/>
      </w:tblGrid>
      <w:tr w:rsidR="00B10D1B" w:rsidRPr="009A48C4" w14:paraId="4C3FB0DD" w14:textId="77777777" w:rsidTr="009A48C4">
        <w:trPr>
          <w:trHeight w:val="433"/>
          <w:jc w:val="center"/>
        </w:trPr>
        <w:tc>
          <w:tcPr>
            <w:tcW w:w="614" w:type="dxa"/>
            <w:tcBorders>
              <w:top w:val="single" w:sz="4" w:space="0" w:color="auto"/>
              <w:left w:val="single" w:sz="4" w:space="0" w:color="auto"/>
              <w:bottom w:val="single" w:sz="4" w:space="0" w:color="auto"/>
              <w:right w:val="single" w:sz="4" w:space="0" w:color="auto"/>
            </w:tcBorders>
          </w:tcPr>
          <w:p w14:paraId="3D3367BA" w14:textId="2FDBCA2C" w:rsidR="00B10D1B" w:rsidRPr="009A48C4" w:rsidRDefault="00B10D1B" w:rsidP="007446AA">
            <w:pPr>
              <w:widowControl w:val="0"/>
              <w:jc w:val="both"/>
            </w:pPr>
            <w:r w:rsidRPr="009A48C4">
              <w:t>№ лота</w:t>
            </w:r>
          </w:p>
        </w:tc>
        <w:tc>
          <w:tcPr>
            <w:tcW w:w="4877"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9A48C4" w:rsidRDefault="00B10D1B" w:rsidP="00DE1F6E">
            <w:pPr>
              <w:widowControl w:val="0"/>
              <w:jc w:val="center"/>
            </w:pPr>
            <w:r w:rsidRPr="009A48C4">
              <w:t>Наименование и средства идентификации объекта</w:t>
            </w:r>
          </w:p>
        </w:tc>
        <w:tc>
          <w:tcPr>
            <w:tcW w:w="1560" w:type="dxa"/>
            <w:tcBorders>
              <w:top w:val="single" w:sz="4" w:space="0" w:color="auto"/>
              <w:left w:val="single" w:sz="4" w:space="0" w:color="auto"/>
              <w:bottom w:val="single" w:sz="4" w:space="0" w:color="auto"/>
              <w:right w:val="single" w:sz="4" w:space="0" w:color="auto"/>
            </w:tcBorders>
          </w:tcPr>
          <w:p w14:paraId="5CA24EE0" w14:textId="77777777" w:rsidR="00B10D1B" w:rsidRPr="009A48C4" w:rsidRDefault="00B10D1B" w:rsidP="00F30816">
            <w:pPr>
              <w:widowControl w:val="0"/>
              <w:jc w:val="center"/>
            </w:pPr>
            <w:r w:rsidRPr="009A48C4">
              <w:t>Начальная цена реализации объекта, руб.</w:t>
            </w:r>
          </w:p>
        </w:tc>
        <w:tc>
          <w:tcPr>
            <w:tcW w:w="1774" w:type="dxa"/>
            <w:tcBorders>
              <w:top w:val="single" w:sz="4" w:space="0" w:color="auto"/>
              <w:left w:val="single" w:sz="4" w:space="0" w:color="auto"/>
              <w:bottom w:val="single" w:sz="4" w:space="0" w:color="auto"/>
              <w:right w:val="single" w:sz="4" w:space="0" w:color="auto"/>
            </w:tcBorders>
          </w:tcPr>
          <w:p w14:paraId="59B8E16F" w14:textId="7BD8AC8F" w:rsidR="00B10D1B" w:rsidRPr="009A48C4" w:rsidRDefault="00B10D1B" w:rsidP="00EB5D73">
            <w:pPr>
              <w:widowControl w:val="0"/>
              <w:jc w:val="center"/>
              <w:rPr>
                <w:highlight w:val="yellow"/>
              </w:rPr>
            </w:pPr>
            <w:r w:rsidRPr="009A48C4">
              <w:t>Сведения о правоустанавливающих документах</w:t>
            </w:r>
          </w:p>
        </w:tc>
        <w:tc>
          <w:tcPr>
            <w:tcW w:w="1467" w:type="dxa"/>
            <w:tcBorders>
              <w:top w:val="single" w:sz="4" w:space="0" w:color="auto"/>
              <w:left w:val="single" w:sz="4" w:space="0" w:color="auto"/>
              <w:bottom w:val="single" w:sz="4" w:space="0" w:color="auto"/>
              <w:right w:val="single" w:sz="4" w:space="0" w:color="auto"/>
            </w:tcBorders>
          </w:tcPr>
          <w:p w14:paraId="23D8B90B" w14:textId="77777777" w:rsidR="00B10D1B" w:rsidRPr="009A48C4" w:rsidRDefault="00B10D1B" w:rsidP="00F30816">
            <w:pPr>
              <w:widowControl w:val="0"/>
              <w:jc w:val="center"/>
            </w:pPr>
            <w:r w:rsidRPr="009A48C4">
              <w:t>Сведения об обременениях третьих лиц</w:t>
            </w:r>
          </w:p>
        </w:tc>
      </w:tr>
      <w:tr w:rsidR="00B10D1B" w:rsidRPr="009A48C4" w14:paraId="5CFB6C2C" w14:textId="77777777" w:rsidTr="009A48C4">
        <w:trPr>
          <w:trHeight w:val="416"/>
          <w:jc w:val="center"/>
        </w:trPr>
        <w:tc>
          <w:tcPr>
            <w:tcW w:w="614" w:type="dxa"/>
            <w:tcBorders>
              <w:top w:val="single" w:sz="4" w:space="0" w:color="auto"/>
              <w:left w:val="single" w:sz="4" w:space="0" w:color="auto"/>
              <w:bottom w:val="single" w:sz="4" w:space="0" w:color="auto"/>
              <w:right w:val="single" w:sz="4" w:space="0" w:color="auto"/>
            </w:tcBorders>
          </w:tcPr>
          <w:p w14:paraId="4270EE45" w14:textId="710558FB" w:rsidR="00B10D1B" w:rsidRPr="009A48C4" w:rsidRDefault="00B10D1B" w:rsidP="007446AA">
            <w:pPr>
              <w:widowControl w:val="0"/>
              <w:jc w:val="both"/>
              <w:rPr>
                <w:lang w:val="en-US"/>
              </w:rPr>
            </w:pPr>
            <w:r w:rsidRPr="009A48C4">
              <w:t>Л</w:t>
            </w:r>
            <w:r w:rsidR="007446AA" w:rsidRPr="009A48C4">
              <w:t xml:space="preserve">от </w:t>
            </w:r>
            <w:r w:rsidRPr="009A48C4">
              <w:rPr>
                <w:lang w:val="en-US"/>
              </w:rPr>
              <w:t>1</w:t>
            </w:r>
          </w:p>
        </w:tc>
        <w:tc>
          <w:tcPr>
            <w:tcW w:w="4877" w:type="dxa"/>
            <w:tcBorders>
              <w:top w:val="single" w:sz="4" w:space="0" w:color="auto"/>
              <w:left w:val="single" w:sz="4" w:space="0" w:color="auto"/>
              <w:bottom w:val="single" w:sz="4" w:space="0" w:color="auto"/>
              <w:right w:val="single" w:sz="4" w:space="0" w:color="auto"/>
            </w:tcBorders>
          </w:tcPr>
          <w:p w14:paraId="17FFEEFE" w14:textId="77777777" w:rsidR="00E228EC" w:rsidRPr="00B054A7" w:rsidRDefault="00E228EC" w:rsidP="00E228EC">
            <w:pPr>
              <w:jc w:val="both"/>
              <w:rPr>
                <w:bCs/>
                <w:sz w:val="18"/>
                <w:szCs w:val="18"/>
              </w:rPr>
            </w:pPr>
            <w:proofErr w:type="gramStart"/>
            <w:r w:rsidRPr="00F75C12">
              <w:rPr>
                <w:bCs/>
                <w:sz w:val="18"/>
                <w:szCs w:val="18"/>
              </w:rPr>
              <w:t xml:space="preserve">В полном объеме права (требования)*/, имеющихся у Кредитора к Должникам на Дату перехода прав (требований) по Договору к Новому кредитору, </w:t>
            </w:r>
            <w:r w:rsidRPr="00F75C12">
              <w:rPr>
                <w:sz w:val="18"/>
                <w:szCs w:val="18"/>
              </w:rPr>
              <w:t>установленных на основании договоров, обеспечительных сделок и судебных актов, перечисленных в Приложении 1 к настоящему Заданию,</w:t>
            </w:r>
            <w:r w:rsidRPr="00F75C12">
              <w:rPr>
                <w:bCs/>
                <w:sz w:val="18"/>
                <w:szCs w:val="18"/>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w:t>
            </w:r>
            <w:proofErr w:type="gramEnd"/>
            <w:r w:rsidRPr="00F75C12">
              <w:rPr>
                <w:bCs/>
                <w:sz w:val="18"/>
                <w:szCs w:val="18"/>
              </w:rPr>
              <w:t>),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50805639" w14:textId="77777777" w:rsidR="00E228EC" w:rsidRPr="007B6974" w:rsidRDefault="00E228EC" w:rsidP="00E228EC">
            <w:pPr>
              <w:rPr>
                <w:bCs/>
                <w:sz w:val="18"/>
                <w:szCs w:val="18"/>
              </w:rPr>
            </w:pPr>
          </w:p>
          <w:p w14:paraId="6678A6C7" w14:textId="77777777" w:rsidR="00E228EC" w:rsidRPr="007B6974" w:rsidRDefault="00E228EC" w:rsidP="00E228EC">
            <w:pPr>
              <w:jc w:val="both"/>
              <w:rPr>
                <w:rFonts w:eastAsia="Calibri"/>
                <w:sz w:val="18"/>
                <w:szCs w:val="18"/>
              </w:rPr>
            </w:pPr>
            <w:r w:rsidRPr="007B6974">
              <w:rPr>
                <w:rFonts w:eastAsia="Calibri"/>
                <w:sz w:val="18"/>
                <w:szCs w:val="18"/>
              </w:rPr>
              <w:t>*/</w:t>
            </w:r>
            <w:proofErr w:type="spellStart"/>
            <w:r w:rsidRPr="007B6974">
              <w:rPr>
                <w:rFonts w:eastAsia="Calibri"/>
                <w:sz w:val="18"/>
                <w:szCs w:val="18"/>
              </w:rPr>
              <w:t>Справочно</w:t>
            </w:r>
            <w:proofErr w:type="spellEnd"/>
            <w:r w:rsidRPr="007B6974">
              <w:rPr>
                <w:rFonts w:eastAsia="Calibri"/>
                <w:sz w:val="18"/>
                <w:szCs w:val="18"/>
              </w:rPr>
              <w:t>: по состоянию на 27.10.2023 объем уступаемых прав (требований) составляет 38 419 039,46 рублей, в том числе:</w:t>
            </w:r>
          </w:p>
          <w:p w14:paraId="3DA30F30" w14:textId="77777777" w:rsidR="00E228EC" w:rsidRPr="007B6974" w:rsidRDefault="00E228EC" w:rsidP="00E228EC">
            <w:pPr>
              <w:jc w:val="both"/>
              <w:rPr>
                <w:rFonts w:eastAsia="Calibri"/>
                <w:sz w:val="18"/>
                <w:szCs w:val="18"/>
              </w:rPr>
            </w:pPr>
            <w:r w:rsidRPr="007B6974">
              <w:rPr>
                <w:rFonts w:eastAsia="Calibri"/>
                <w:sz w:val="18"/>
                <w:szCs w:val="18"/>
              </w:rPr>
              <w:t xml:space="preserve">- основной долг - </w:t>
            </w:r>
            <w:r w:rsidRPr="007B6974">
              <w:rPr>
                <w:sz w:val="18"/>
                <w:szCs w:val="18"/>
              </w:rPr>
              <w:t xml:space="preserve">14 260 383,62 </w:t>
            </w:r>
            <w:r w:rsidRPr="007B6974">
              <w:rPr>
                <w:rFonts w:eastAsia="Calibri"/>
                <w:sz w:val="18"/>
                <w:szCs w:val="18"/>
              </w:rPr>
              <w:t>рубля;</w:t>
            </w:r>
          </w:p>
          <w:p w14:paraId="338A77AF" w14:textId="77777777" w:rsidR="00E228EC" w:rsidRPr="007B6974" w:rsidRDefault="00E228EC" w:rsidP="00E228EC">
            <w:pPr>
              <w:jc w:val="both"/>
              <w:rPr>
                <w:rFonts w:eastAsia="Calibri"/>
                <w:sz w:val="18"/>
                <w:szCs w:val="18"/>
              </w:rPr>
            </w:pPr>
            <w:r w:rsidRPr="007B6974">
              <w:rPr>
                <w:rFonts w:eastAsia="Calibri"/>
                <w:sz w:val="18"/>
                <w:szCs w:val="18"/>
              </w:rPr>
              <w:t xml:space="preserve">- проценты - </w:t>
            </w:r>
            <w:r w:rsidRPr="007B6974">
              <w:rPr>
                <w:sz w:val="18"/>
                <w:szCs w:val="18"/>
              </w:rPr>
              <w:t xml:space="preserve">13 517 251,72 </w:t>
            </w:r>
            <w:r w:rsidRPr="007B6974">
              <w:rPr>
                <w:rFonts w:eastAsia="Calibri"/>
                <w:sz w:val="18"/>
                <w:szCs w:val="18"/>
              </w:rPr>
              <w:t>рубля;</w:t>
            </w:r>
          </w:p>
          <w:p w14:paraId="621E46D8" w14:textId="77777777" w:rsidR="00E228EC" w:rsidRPr="007B6974" w:rsidRDefault="00E228EC" w:rsidP="00E228EC">
            <w:pPr>
              <w:jc w:val="both"/>
              <w:rPr>
                <w:rFonts w:eastAsia="Calibri"/>
                <w:sz w:val="18"/>
                <w:szCs w:val="18"/>
              </w:rPr>
            </w:pPr>
            <w:r w:rsidRPr="007B6974">
              <w:rPr>
                <w:rFonts w:eastAsia="Calibri"/>
                <w:sz w:val="18"/>
                <w:szCs w:val="18"/>
              </w:rPr>
              <w:t>- комиссии - 303 089,18 рублей;</w:t>
            </w:r>
          </w:p>
          <w:p w14:paraId="3E90B73E" w14:textId="77777777" w:rsidR="00E228EC" w:rsidRPr="007B6974" w:rsidRDefault="00E228EC" w:rsidP="00E228EC">
            <w:pPr>
              <w:jc w:val="both"/>
              <w:rPr>
                <w:rFonts w:eastAsia="Calibri"/>
                <w:sz w:val="18"/>
                <w:szCs w:val="18"/>
              </w:rPr>
            </w:pPr>
            <w:r w:rsidRPr="007B6974">
              <w:rPr>
                <w:rFonts w:eastAsia="Calibri"/>
                <w:sz w:val="18"/>
                <w:szCs w:val="18"/>
              </w:rPr>
              <w:t>- неустойки (пени, штрафы) - 10 332 314,94 рубля;</w:t>
            </w:r>
          </w:p>
          <w:p w14:paraId="50D29925" w14:textId="77777777" w:rsidR="00E228EC" w:rsidRPr="007B6974" w:rsidRDefault="00E228EC" w:rsidP="00E228EC">
            <w:pPr>
              <w:jc w:val="both"/>
              <w:rPr>
                <w:rFonts w:eastAsia="Calibri"/>
                <w:sz w:val="18"/>
                <w:szCs w:val="18"/>
              </w:rPr>
            </w:pPr>
            <w:r w:rsidRPr="007B6974">
              <w:rPr>
                <w:rFonts w:eastAsia="Calibri"/>
                <w:sz w:val="18"/>
                <w:szCs w:val="18"/>
              </w:rPr>
              <w:t>- госпошлина – 6 000,00 рублей;</w:t>
            </w:r>
          </w:p>
          <w:p w14:paraId="3A49EF31" w14:textId="77777777" w:rsidR="00E228EC" w:rsidRPr="007B6974" w:rsidRDefault="00E228EC" w:rsidP="00E228EC">
            <w:pPr>
              <w:jc w:val="both"/>
              <w:rPr>
                <w:rFonts w:eastAsia="Calibri"/>
                <w:sz w:val="18"/>
                <w:szCs w:val="18"/>
              </w:rPr>
            </w:pPr>
            <w:r w:rsidRPr="007B6974">
              <w:rPr>
                <w:rFonts w:eastAsia="Calibri"/>
                <w:sz w:val="18"/>
                <w:szCs w:val="18"/>
              </w:rPr>
              <w:t>В отношении каждого Должника объем уступаемых прав (требований) составляет:</w:t>
            </w:r>
          </w:p>
          <w:tbl>
            <w:tblPr>
              <w:tblW w:w="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4"/>
              <w:gridCol w:w="1174"/>
              <w:gridCol w:w="1174"/>
            </w:tblGrid>
            <w:tr w:rsidR="00E228EC" w:rsidRPr="001E22FE" w14:paraId="3176DB82" w14:textId="77777777" w:rsidTr="00511F0C">
              <w:trPr>
                <w:trHeight w:val="319"/>
              </w:trPr>
              <w:tc>
                <w:tcPr>
                  <w:tcW w:w="1174" w:type="dxa"/>
                  <w:shd w:val="clear" w:color="auto" w:fill="auto"/>
                  <w:vAlign w:val="center"/>
                  <w:hideMark/>
                </w:tcPr>
                <w:p w14:paraId="416A00F8" w14:textId="77777777" w:rsidR="00E228EC" w:rsidRPr="001E22FE" w:rsidRDefault="00E228EC" w:rsidP="00511F0C">
                  <w:pPr>
                    <w:jc w:val="center"/>
                    <w:rPr>
                      <w:color w:val="000000"/>
                      <w:sz w:val="16"/>
                      <w:szCs w:val="16"/>
                    </w:rPr>
                  </w:pPr>
                  <w:r w:rsidRPr="001E22FE">
                    <w:rPr>
                      <w:bCs/>
                      <w:color w:val="000000"/>
                      <w:sz w:val="16"/>
                      <w:szCs w:val="16"/>
                    </w:rPr>
                    <w:t>Должник</w:t>
                  </w:r>
                </w:p>
              </w:tc>
              <w:tc>
                <w:tcPr>
                  <w:tcW w:w="1174" w:type="dxa"/>
                  <w:shd w:val="clear" w:color="auto" w:fill="auto"/>
                  <w:vAlign w:val="center"/>
                  <w:hideMark/>
                </w:tcPr>
                <w:p w14:paraId="1AB3FF97" w14:textId="77777777" w:rsidR="00E228EC" w:rsidRPr="001E22FE" w:rsidRDefault="00E228EC" w:rsidP="00511F0C">
                  <w:pPr>
                    <w:jc w:val="center"/>
                    <w:rPr>
                      <w:color w:val="000000"/>
                      <w:sz w:val="16"/>
                      <w:szCs w:val="16"/>
                    </w:rPr>
                  </w:pPr>
                  <w:r w:rsidRPr="001E22FE">
                    <w:rPr>
                      <w:color w:val="000000"/>
                      <w:sz w:val="16"/>
                      <w:szCs w:val="16"/>
                    </w:rPr>
                    <w:t>ООО «Фабрика орудий лова»</w:t>
                  </w:r>
                </w:p>
              </w:tc>
              <w:tc>
                <w:tcPr>
                  <w:tcW w:w="1174" w:type="dxa"/>
                  <w:shd w:val="clear" w:color="auto" w:fill="auto"/>
                  <w:vAlign w:val="center"/>
                  <w:hideMark/>
                </w:tcPr>
                <w:p w14:paraId="06610100" w14:textId="77777777" w:rsidR="00E228EC" w:rsidRPr="001E22FE" w:rsidRDefault="00E228EC" w:rsidP="00511F0C">
                  <w:pPr>
                    <w:jc w:val="center"/>
                    <w:rPr>
                      <w:color w:val="000000"/>
                      <w:sz w:val="16"/>
                      <w:szCs w:val="16"/>
                    </w:rPr>
                  </w:pPr>
                  <w:r w:rsidRPr="001E22FE">
                    <w:rPr>
                      <w:color w:val="000000"/>
                      <w:sz w:val="16"/>
                      <w:szCs w:val="16"/>
                    </w:rPr>
                    <w:t>ООО «Бест Фиш»</w:t>
                  </w:r>
                </w:p>
              </w:tc>
              <w:tc>
                <w:tcPr>
                  <w:tcW w:w="1174" w:type="dxa"/>
                  <w:shd w:val="clear" w:color="auto" w:fill="auto"/>
                  <w:vAlign w:val="center"/>
                  <w:hideMark/>
                </w:tcPr>
                <w:p w14:paraId="527018DE" w14:textId="77777777" w:rsidR="00E228EC" w:rsidRPr="001E22FE" w:rsidRDefault="00E228EC" w:rsidP="00511F0C">
                  <w:pPr>
                    <w:jc w:val="center"/>
                    <w:rPr>
                      <w:color w:val="000000"/>
                      <w:sz w:val="16"/>
                      <w:szCs w:val="16"/>
                    </w:rPr>
                  </w:pPr>
                  <w:proofErr w:type="spellStart"/>
                  <w:r w:rsidRPr="001E22FE">
                    <w:rPr>
                      <w:color w:val="000000"/>
                      <w:sz w:val="16"/>
                      <w:szCs w:val="16"/>
                    </w:rPr>
                    <w:t>Биккерт</w:t>
                  </w:r>
                  <w:proofErr w:type="spellEnd"/>
                  <w:r w:rsidRPr="001E22FE">
                    <w:rPr>
                      <w:color w:val="000000"/>
                      <w:sz w:val="16"/>
                      <w:szCs w:val="16"/>
                    </w:rPr>
                    <w:t xml:space="preserve"> Виктор </w:t>
                  </w:r>
                  <w:proofErr w:type="spellStart"/>
                  <w:r w:rsidRPr="001E22FE">
                    <w:rPr>
                      <w:color w:val="000000"/>
                      <w:sz w:val="16"/>
                      <w:szCs w:val="16"/>
                    </w:rPr>
                    <w:t>Эмануилович</w:t>
                  </w:r>
                  <w:proofErr w:type="spellEnd"/>
                </w:p>
              </w:tc>
            </w:tr>
            <w:tr w:rsidR="00E228EC" w:rsidRPr="001E22FE" w14:paraId="669DD575" w14:textId="77777777" w:rsidTr="00511F0C">
              <w:trPr>
                <w:trHeight w:val="319"/>
              </w:trPr>
              <w:tc>
                <w:tcPr>
                  <w:tcW w:w="1174" w:type="dxa"/>
                  <w:shd w:val="clear" w:color="auto" w:fill="auto"/>
                  <w:vAlign w:val="center"/>
                  <w:hideMark/>
                </w:tcPr>
                <w:p w14:paraId="37CFE26B" w14:textId="77777777" w:rsidR="00E228EC" w:rsidRPr="001E22FE" w:rsidRDefault="00E228EC" w:rsidP="00511F0C">
                  <w:pPr>
                    <w:jc w:val="both"/>
                    <w:rPr>
                      <w:color w:val="000000"/>
                      <w:sz w:val="16"/>
                      <w:szCs w:val="16"/>
                    </w:rPr>
                  </w:pPr>
                  <w:r w:rsidRPr="001E22FE">
                    <w:rPr>
                      <w:bCs/>
                      <w:color w:val="000000"/>
                      <w:sz w:val="16"/>
                      <w:szCs w:val="16"/>
                    </w:rPr>
                    <w:t>Основной долг</w:t>
                  </w:r>
                </w:p>
              </w:tc>
              <w:tc>
                <w:tcPr>
                  <w:tcW w:w="1174" w:type="dxa"/>
                  <w:shd w:val="clear" w:color="auto" w:fill="auto"/>
                  <w:vAlign w:val="center"/>
                  <w:hideMark/>
                </w:tcPr>
                <w:p w14:paraId="3D2DF4B1" w14:textId="77777777" w:rsidR="00E228EC" w:rsidRPr="001E22FE" w:rsidRDefault="00E228EC" w:rsidP="00511F0C">
                  <w:pPr>
                    <w:jc w:val="right"/>
                    <w:rPr>
                      <w:color w:val="000000"/>
                      <w:sz w:val="16"/>
                      <w:szCs w:val="16"/>
                    </w:rPr>
                  </w:pPr>
                  <w:r w:rsidRPr="001E22FE">
                    <w:rPr>
                      <w:color w:val="000000"/>
                      <w:sz w:val="16"/>
                      <w:szCs w:val="16"/>
                    </w:rPr>
                    <w:t>14 260 383,62</w:t>
                  </w:r>
                </w:p>
              </w:tc>
              <w:tc>
                <w:tcPr>
                  <w:tcW w:w="1174" w:type="dxa"/>
                  <w:shd w:val="clear" w:color="auto" w:fill="auto"/>
                  <w:vAlign w:val="center"/>
                  <w:hideMark/>
                </w:tcPr>
                <w:p w14:paraId="271111A1" w14:textId="77777777" w:rsidR="00E228EC" w:rsidRPr="001E22FE" w:rsidRDefault="00E228EC" w:rsidP="00511F0C">
                  <w:pPr>
                    <w:jc w:val="right"/>
                    <w:rPr>
                      <w:color w:val="000000"/>
                      <w:sz w:val="16"/>
                      <w:szCs w:val="16"/>
                    </w:rPr>
                  </w:pPr>
                  <w:r w:rsidRPr="001E22FE">
                    <w:rPr>
                      <w:color w:val="000000"/>
                      <w:sz w:val="16"/>
                      <w:szCs w:val="16"/>
                    </w:rPr>
                    <w:t>14 260 383,62</w:t>
                  </w:r>
                </w:p>
              </w:tc>
              <w:tc>
                <w:tcPr>
                  <w:tcW w:w="1174" w:type="dxa"/>
                  <w:shd w:val="clear" w:color="auto" w:fill="auto"/>
                  <w:vAlign w:val="center"/>
                  <w:hideMark/>
                </w:tcPr>
                <w:p w14:paraId="54DE1378" w14:textId="77777777" w:rsidR="00E228EC" w:rsidRPr="001E22FE" w:rsidRDefault="00E228EC" w:rsidP="00511F0C">
                  <w:pPr>
                    <w:jc w:val="right"/>
                    <w:rPr>
                      <w:color w:val="000000"/>
                      <w:sz w:val="16"/>
                      <w:szCs w:val="16"/>
                    </w:rPr>
                  </w:pPr>
                  <w:r w:rsidRPr="001E22FE">
                    <w:rPr>
                      <w:color w:val="000000"/>
                      <w:sz w:val="16"/>
                      <w:szCs w:val="16"/>
                    </w:rPr>
                    <w:t>14 260 383,62</w:t>
                  </w:r>
                </w:p>
              </w:tc>
            </w:tr>
            <w:tr w:rsidR="00E228EC" w:rsidRPr="001E22FE" w14:paraId="6BA7F642" w14:textId="77777777" w:rsidTr="00511F0C">
              <w:trPr>
                <w:trHeight w:val="215"/>
              </w:trPr>
              <w:tc>
                <w:tcPr>
                  <w:tcW w:w="1174" w:type="dxa"/>
                  <w:shd w:val="clear" w:color="auto" w:fill="auto"/>
                  <w:vAlign w:val="center"/>
                  <w:hideMark/>
                </w:tcPr>
                <w:p w14:paraId="5012D4CD" w14:textId="77777777" w:rsidR="00E228EC" w:rsidRPr="001E22FE" w:rsidRDefault="00E228EC" w:rsidP="00511F0C">
                  <w:pPr>
                    <w:jc w:val="both"/>
                    <w:rPr>
                      <w:color w:val="000000"/>
                      <w:sz w:val="16"/>
                      <w:szCs w:val="16"/>
                    </w:rPr>
                  </w:pPr>
                  <w:r w:rsidRPr="001E22FE">
                    <w:rPr>
                      <w:bCs/>
                      <w:color w:val="000000"/>
                      <w:sz w:val="16"/>
                      <w:szCs w:val="16"/>
                    </w:rPr>
                    <w:t>Проценты</w:t>
                  </w:r>
                </w:p>
              </w:tc>
              <w:tc>
                <w:tcPr>
                  <w:tcW w:w="1174" w:type="dxa"/>
                  <w:shd w:val="clear" w:color="auto" w:fill="auto"/>
                  <w:vAlign w:val="center"/>
                  <w:hideMark/>
                </w:tcPr>
                <w:p w14:paraId="7D7A9A81" w14:textId="77777777" w:rsidR="00E228EC" w:rsidRPr="001E22FE" w:rsidRDefault="00E228EC" w:rsidP="00511F0C">
                  <w:pPr>
                    <w:jc w:val="right"/>
                    <w:rPr>
                      <w:color w:val="000000"/>
                      <w:sz w:val="16"/>
                      <w:szCs w:val="16"/>
                    </w:rPr>
                  </w:pPr>
                  <w:r w:rsidRPr="001E22FE">
                    <w:rPr>
                      <w:color w:val="000000"/>
                      <w:sz w:val="16"/>
                      <w:szCs w:val="16"/>
                    </w:rPr>
                    <w:t>13 517 251,72</w:t>
                  </w:r>
                </w:p>
              </w:tc>
              <w:tc>
                <w:tcPr>
                  <w:tcW w:w="1174" w:type="dxa"/>
                  <w:shd w:val="clear" w:color="auto" w:fill="auto"/>
                  <w:vAlign w:val="center"/>
                  <w:hideMark/>
                </w:tcPr>
                <w:p w14:paraId="6386457E" w14:textId="77777777" w:rsidR="00E228EC" w:rsidRPr="001E22FE" w:rsidRDefault="00E228EC" w:rsidP="00511F0C">
                  <w:pPr>
                    <w:jc w:val="right"/>
                    <w:rPr>
                      <w:color w:val="000000"/>
                      <w:sz w:val="16"/>
                      <w:szCs w:val="16"/>
                    </w:rPr>
                  </w:pPr>
                  <w:r w:rsidRPr="001E22FE">
                    <w:rPr>
                      <w:color w:val="000000"/>
                      <w:sz w:val="16"/>
                      <w:szCs w:val="16"/>
                    </w:rPr>
                    <w:t>13 517 251,72</w:t>
                  </w:r>
                </w:p>
              </w:tc>
              <w:tc>
                <w:tcPr>
                  <w:tcW w:w="1174" w:type="dxa"/>
                  <w:shd w:val="clear" w:color="auto" w:fill="auto"/>
                  <w:vAlign w:val="center"/>
                  <w:hideMark/>
                </w:tcPr>
                <w:p w14:paraId="3124CBB7"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068EE1EE" w14:textId="77777777" w:rsidTr="00511F0C">
              <w:trPr>
                <w:trHeight w:val="319"/>
              </w:trPr>
              <w:tc>
                <w:tcPr>
                  <w:tcW w:w="1174" w:type="dxa"/>
                  <w:shd w:val="clear" w:color="auto" w:fill="auto"/>
                  <w:vAlign w:val="center"/>
                  <w:hideMark/>
                </w:tcPr>
                <w:p w14:paraId="259F2675" w14:textId="77777777" w:rsidR="00E228EC" w:rsidRPr="001E22FE" w:rsidRDefault="00E228EC" w:rsidP="00511F0C">
                  <w:pPr>
                    <w:jc w:val="both"/>
                    <w:rPr>
                      <w:color w:val="000000"/>
                      <w:sz w:val="16"/>
                      <w:szCs w:val="16"/>
                    </w:rPr>
                  </w:pPr>
                  <w:r w:rsidRPr="001E22FE">
                    <w:rPr>
                      <w:bCs/>
                      <w:color w:val="000000"/>
                      <w:sz w:val="16"/>
                      <w:szCs w:val="16"/>
                    </w:rPr>
                    <w:t>Комиссии</w:t>
                  </w:r>
                </w:p>
              </w:tc>
              <w:tc>
                <w:tcPr>
                  <w:tcW w:w="1174" w:type="dxa"/>
                  <w:shd w:val="clear" w:color="auto" w:fill="auto"/>
                  <w:vAlign w:val="center"/>
                  <w:hideMark/>
                </w:tcPr>
                <w:p w14:paraId="6593204E" w14:textId="77777777" w:rsidR="00E228EC" w:rsidRPr="001E22FE" w:rsidRDefault="00E228EC" w:rsidP="00511F0C">
                  <w:pPr>
                    <w:jc w:val="right"/>
                    <w:rPr>
                      <w:color w:val="000000"/>
                      <w:sz w:val="16"/>
                      <w:szCs w:val="16"/>
                    </w:rPr>
                  </w:pPr>
                  <w:r w:rsidRPr="001E22FE">
                    <w:rPr>
                      <w:color w:val="000000"/>
                      <w:sz w:val="16"/>
                      <w:szCs w:val="16"/>
                    </w:rPr>
                    <w:t>303 089,18</w:t>
                  </w:r>
                </w:p>
              </w:tc>
              <w:tc>
                <w:tcPr>
                  <w:tcW w:w="1174" w:type="dxa"/>
                  <w:shd w:val="clear" w:color="auto" w:fill="auto"/>
                  <w:vAlign w:val="center"/>
                  <w:hideMark/>
                </w:tcPr>
                <w:p w14:paraId="584B4D51" w14:textId="77777777" w:rsidR="00E228EC" w:rsidRPr="001E22FE" w:rsidRDefault="00E228EC" w:rsidP="00511F0C">
                  <w:pPr>
                    <w:jc w:val="right"/>
                    <w:rPr>
                      <w:color w:val="000000"/>
                      <w:sz w:val="16"/>
                      <w:szCs w:val="16"/>
                    </w:rPr>
                  </w:pPr>
                  <w:r w:rsidRPr="001E22FE">
                    <w:rPr>
                      <w:color w:val="000000"/>
                      <w:sz w:val="16"/>
                      <w:szCs w:val="16"/>
                    </w:rPr>
                    <w:t>303 089,18</w:t>
                  </w:r>
                </w:p>
              </w:tc>
              <w:tc>
                <w:tcPr>
                  <w:tcW w:w="1174" w:type="dxa"/>
                  <w:shd w:val="clear" w:color="auto" w:fill="auto"/>
                  <w:vAlign w:val="center"/>
                  <w:hideMark/>
                </w:tcPr>
                <w:p w14:paraId="5BE1F55D"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19565309" w14:textId="77777777" w:rsidTr="00511F0C">
              <w:trPr>
                <w:trHeight w:val="319"/>
              </w:trPr>
              <w:tc>
                <w:tcPr>
                  <w:tcW w:w="1174" w:type="dxa"/>
                  <w:shd w:val="clear" w:color="auto" w:fill="auto"/>
                  <w:vAlign w:val="center"/>
                  <w:hideMark/>
                </w:tcPr>
                <w:p w14:paraId="327E2594" w14:textId="77777777" w:rsidR="00E228EC" w:rsidRPr="001E22FE" w:rsidRDefault="00E228EC" w:rsidP="00511F0C">
                  <w:pPr>
                    <w:jc w:val="both"/>
                    <w:rPr>
                      <w:color w:val="000000"/>
                      <w:sz w:val="16"/>
                      <w:szCs w:val="16"/>
                    </w:rPr>
                  </w:pPr>
                  <w:r w:rsidRPr="001E22FE">
                    <w:rPr>
                      <w:bCs/>
                      <w:color w:val="000000"/>
                      <w:sz w:val="16"/>
                      <w:szCs w:val="16"/>
                    </w:rPr>
                    <w:t>Неустойки (пени, штрафы)</w:t>
                  </w:r>
                </w:p>
              </w:tc>
              <w:tc>
                <w:tcPr>
                  <w:tcW w:w="1174" w:type="dxa"/>
                  <w:shd w:val="clear" w:color="auto" w:fill="auto"/>
                  <w:vAlign w:val="center"/>
                  <w:hideMark/>
                </w:tcPr>
                <w:p w14:paraId="2C74687F" w14:textId="77777777" w:rsidR="00E228EC" w:rsidRPr="001E22FE" w:rsidRDefault="00E228EC" w:rsidP="00511F0C">
                  <w:pPr>
                    <w:jc w:val="right"/>
                    <w:rPr>
                      <w:color w:val="000000"/>
                      <w:sz w:val="16"/>
                      <w:szCs w:val="16"/>
                    </w:rPr>
                  </w:pPr>
                  <w:r w:rsidRPr="001E22FE">
                    <w:rPr>
                      <w:color w:val="000000"/>
                      <w:sz w:val="16"/>
                      <w:szCs w:val="16"/>
                    </w:rPr>
                    <w:t>10 332 314,94</w:t>
                  </w:r>
                </w:p>
              </w:tc>
              <w:tc>
                <w:tcPr>
                  <w:tcW w:w="1174" w:type="dxa"/>
                  <w:shd w:val="clear" w:color="auto" w:fill="auto"/>
                  <w:vAlign w:val="center"/>
                  <w:hideMark/>
                </w:tcPr>
                <w:p w14:paraId="08D99FCA" w14:textId="77777777" w:rsidR="00E228EC" w:rsidRPr="001E22FE" w:rsidRDefault="00E228EC" w:rsidP="00511F0C">
                  <w:pPr>
                    <w:jc w:val="right"/>
                    <w:rPr>
                      <w:color w:val="000000"/>
                      <w:sz w:val="16"/>
                      <w:szCs w:val="16"/>
                    </w:rPr>
                  </w:pPr>
                  <w:r w:rsidRPr="001E22FE">
                    <w:rPr>
                      <w:color w:val="000000"/>
                      <w:sz w:val="16"/>
                      <w:szCs w:val="16"/>
                    </w:rPr>
                    <w:t>10 332 314,94</w:t>
                  </w:r>
                </w:p>
              </w:tc>
              <w:tc>
                <w:tcPr>
                  <w:tcW w:w="1174" w:type="dxa"/>
                  <w:shd w:val="clear" w:color="auto" w:fill="auto"/>
                  <w:vAlign w:val="center"/>
                  <w:hideMark/>
                </w:tcPr>
                <w:p w14:paraId="1FD3BF15"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65EB6772" w14:textId="77777777" w:rsidTr="00511F0C">
              <w:trPr>
                <w:trHeight w:val="156"/>
              </w:trPr>
              <w:tc>
                <w:tcPr>
                  <w:tcW w:w="1174" w:type="dxa"/>
                  <w:shd w:val="clear" w:color="auto" w:fill="auto"/>
                  <w:vAlign w:val="center"/>
                  <w:hideMark/>
                </w:tcPr>
                <w:p w14:paraId="1FBC41E9" w14:textId="77777777" w:rsidR="00E228EC" w:rsidRPr="001E22FE" w:rsidRDefault="00E228EC" w:rsidP="00511F0C">
                  <w:pPr>
                    <w:jc w:val="both"/>
                    <w:rPr>
                      <w:color w:val="000000"/>
                      <w:sz w:val="16"/>
                      <w:szCs w:val="16"/>
                    </w:rPr>
                  </w:pPr>
                  <w:r w:rsidRPr="001E22FE">
                    <w:rPr>
                      <w:bCs/>
                      <w:color w:val="000000"/>
                      <w:sz w:val="16"/>
                      <w:szCs w:val="16"/>
                    </w:rPr>
                    <w:t>Госпошлина</w:t>
                  </w:r>
                </w:p>
              </w:tc>
              <w:tc>
                <w:tcPr>
                  <w:tcW w:w="1174" w:type="dxa"/>
                  <w:shd w:val="clear" w:color="auto" w:fill="auto"/>
                  <w:vAlign w:val="center"/>
                  <w:hideMark/>
                </w:tcPr>
                <w:p w14:paraId="14393F9E" w14:textId="77777777" w:rsidR="00E228EC" w:rsidRPr="001E22FE" w:rsidRDefault="00E228EC" w:rsidP="00511F0C">
                  <w:pPr>
                    <w:jc w:val="right"/>
                    <w:rPr>
                      <w:color w:val="000000"/>
                      <w:sz w:val="16"/>
                      <w:szCs w:val="16"/>
                    </w:rPr>
                  </w:pPr>
                  <w:r w:rsidRPr="001E22FE">
                    <w:rPr>
                      <w:color w:val="000000"/>
                      <w:sz w:val="16"/>
                      <w:szCs w:val="16"/>
                    </w:rPr>
                    <w:t>0</w:t>
                  </w:r>
                </w:p>
              </w:tc>
              <w:tc>
                <w:tcPr>
                  <w:tcW w:w="1174" w:type="dxa"/>
                  <w:shd w:val="clear" w:color="auto" w:fill="auto"/>
                  <w:vAlign w:val="center"/>
                  <w:hideMark/>
                </w:tcPr>
                <w:p w14:paraId="734A5E2C" w14:textId="77777777" w:rsidR="00E228EC" w:rsidRPr="001E22FE" w:rsidRDefault="00E228EC" w:rsidP="00511F0C">
                  <w:pPr>
                    <w:jc w:val="right"/>
                    <w:rPr>
                      <w:color w:val="000000"/>
                      <w:sz w:val="16"/>
                      <w:szCs w:val="16"/>
                    </w:rPr>
                  </w:pPr>
                  <w:r w:rsidRPr="001E22FE">
                    <w:rPr>
                      <w:color w:val="000000"/>
                      <w:sz w:val="16"/>
                      <w:szCs w:val="16"/>
                    </w:rPr>
                    <w:t>6 000,00</w:t>
                  </w:r>
                </w:p>
              </w:tc>
              <w:tc>
                <w:tcPr>
                  <w:tcW w:w="1174" w:type="dxa"/>
                  <w:shd w:val="clear" w:color="auto" w:fill="auto"/>
                  <w:vAlign w:val="center"/>
                  <w:hideMark/>
                </w:tcPr>
                <w:p w14:paraId="070BACA8"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3CDE39C6" w14:textId="77777777" w:rsidTr="00511F0C">
              <w:trPr>
                <w:trHeight w:val="156"/>
              </w:trPr>
              <w:tc>
                <w:tcPr>
                  <w:tcW w:w="1174" w:type="dxa"/>
                  <w:shd w:val="clear" w:color="auto" w:fill="auto"/>
                  <w:vAlign w:val="center"/>
                  <w:hideMark/>
                </w:tcPr>
                <w:p w14:paraId="12EC6605" w14:textId="77777777" w:rsidR="00E228EC" w:rsidRPr="001E22FE" w:rsidRDefault="00E228EC" w:rsidP="00511F0C">
                  <w:pPr>
                    <w:jc w:val="both"/>
                    <w:rPr>
                      <w:color w:val="000000"/>
                      <w:sz w:val="16"/>
                      <w:szCs w:val="16"/>
                    </w:rPr>
                  </w:pPr>
                  <w:r w:rsidRPr="001E22FE">
                    <w:rPr>
                      <w:bCs/>
                      <w:color w:val="000000"/>
                      <w:sz w:val="16"/>
                      <w:szCs w:val="16"/>
                    </w:rPr>
                    <w:t>Итого</w:t>
                  </w:r>
                </w:p>
              </w:tc>
              <w:tc>
                <w:tcPr>
                  <w:tcW w:w="1174" w:type="dxa"/>
                  <w:shd w:val="clear" w:color="auto" w:fill="auto"/>
                  <w:vAlign w:val="center"/>
                  <w:hideMark/>
                </w:tcPr>
                <w:p w14:paraId="12128CFC" w14:textId="77777777" w:rsidR="00E228EC" w:rsidRPr="001E22FE" w:rsidRDefault="00E228EC" w:rsidP="00511F0C">
                  <w:pPr>
                    <w:jc w:val="right"/>
                    <w:rPr>
                      <w:color w:val="000000"/>
                      <w:sz w:val="16"/>
                      <w:szCs w:val="16"/>
                    </w:rPr>
                  </w:pPr>
                  <w:r w:rsidRPr="001E22FE">
                    <w:rPr>
                      <w:color w:val="000000"/>
                      <w:sz w:val="16"/>
                      <w:szCs w:val="16"/>
                    </w:rPr>
                    <w:t>38 413 039,46</w:t>
                  </w:r>
                </w:p>
              </w:tc>
              <w:tc>
                <w:tcPr>
                  <w:tcW w:w="1174" w:type="dxa"/>
                  <w:shd w:val="clear" w:color="auto" w:fill="auto"/>
                  <w:vAlign w:val="center"/>
                  <w:hideMark/>
                </w:tcPr>
                <w:p w14:paraId="6CB757BE" w14:textId="77777777" w:rsidR="00E228EC" w:rsidRPr="001E22FE" w:rsidRDefault="00E228EC" w:rsidP="00511F0C">
                  <w:pPr>
                    <w:jc w:val="right"/>
                    <w:rPr>
                      <w:color w:val="000000"/>
                      <w:sz w:val="16"/>
                      <w:szCs w:val="16"/>
                    </w:rPr>
                  </w:pPr>
                  <w:r w:rsidRPr="001E22FE">
                    <w:rPr>
                      <w:color w:val="000000"/>
                      <w:sz w:val="16"/>
                      <w:szCs w:val="16"/>
                    </w:rPr>
                    <w:t>38 419 039,46</w:t>
                  </w:r>
                </w:p>
              </w:tc>
              <w:tc>
                <w:tcPr>
                  <w:tcW w:w="1174" w:type="dxa"/>
                  <w:shd w:val="clear" w:color="auto" w:fill="auto"/>
                  <w:vAlign w:val="center"/>
                  <w:hideMark/>
                </w:tcPr>
                <w:p w14:paraId="50ADF6B4" w14:textId="77777777" w:rsidR="00E228EC" w:rsidRPr="001E22FE" w:rsidRDefault="00E228EC" w:rsidP="00511F0C">
                  <w:pPr>
                    <w:jc w:val="right"/>
                    <w:rPr>
                      <w:color w:val="000000"/>
                      <w:sz w:val="16"/>
                      <w:szCs w:val="16"/>
                    </w:rPr>
                  </w:pPr>
                  <w:r w:rsidRPr="001E22FE">
                    <w:rPr>
                      <w:color w:val="000000"/>
                      <w:sz w:val="16"/>
                      <w:szCs w:val="16"/>
                    </w:rPr>
                    <w:t>14 260 383,62</w:t>
                  </w:r>
                </w:p>
              </w:tc>
            </w:tr>
          </w:tbl>
          <w:p w14:paraId="345B275D" w14:textId="77777777" w:rsidR="00E228EC" w:rsidRPr="007B6974" w:rsidRDefault="00E228EC" w:rsidP="00E228EC">
            <w:pPr>
              <w:jc w:val="both"/>
              <w:rPr>
                <w:rFonts w:eastAsia="Calibri"/>
                <w:sz w:val="18"/>
                <w:szCs w:val="18"/>
              </w:rPr>
            </w:pPr>
          </w:p>
          <w:p w14:paraId="2801EABC" w14:textId="77777777" w:rsidR="00E228EC" w:rsidRPr="007B6974" w:rsidRDefault="00E228EC" w:rsidP="00E228EC">
            <w:pPr>
              <w:jc w:val="both"/>
              <w:rPr>
                <w:rFonts w:eastAsia="Calibri"/>
                <w:sz w:val="18"/>
                <w:szCs w:val="18"/>
              </w:rPr>
            </w:pPr>
            <w:r w:rsidRPr="007B6974">
              <w:rPr>
                <w:rFonts w:eastAsia="Calibri"/>
                <w:sz w:val="18"/>
                <w:szCs w:val="18"/>
              </w:rPr>
              <w:t>В том числе:</w:t>
            </w:r>
          </w:p>
          <w:p w14:paraId="6C9700DE" w14:textId="77777777" w:rsidR="00E228EC" w:rsidRPr="007B6974" w:rsidRDefault="00E228EC" w:rsidP="00E228EC">
            <w:pPr>
              <w:jc w:val="both"/>
              <w:rPr>
                <w:rFonts w:eastAsia="Calibri"/>
                <w:sz w:val="18"/>
                <w:szCs w:val="18"/>
              </w:rPr>
            </w:pPr>
            <w:r w:rsidRPr="007B6974">
              <w:rPr>
                <w:rFonts w:eastAsia="Calibri"/>
                <w:sz w:val="18"/>
                <w:szCs w:val="18"/>
              </w:rPr>
              <w:t xml:space="preserve">по кредитному договору №117205/0095 от 03.06.2011 объем уступаемых прав (требований) составляет </w:t>
            </w:r>
            <w:r w:rsidRPr="007B6974">
              <w:rPr>
                <w:rFonts w:eastAsiaTheme="minorHAnsi"/>
                <w:sz w:val="18"/>
                <w:szCs w:val="18"/>
                <w:lang w:eastAsia="en-US"/>
              </w:rPr>
              <w:t xml:space="preserve">5 643 254,81 </w:t>
            </w:r>
            <w:r w:rsidRPr="007B6974">
              <w:rPr>
                <w:rFonts w:eastAsia="Calibri"/>
                <w:sz w:val="18"/>
                <w:szCs w:val="18"/>
              </w:rPr>
              <w:t>рублей, в том числе:</w:t>
            </w:r>
          </w:p>
          <w:p w14:paraId="780924EE" w14:textId="77777777" w:rsidR="00E228EC" w:rsidRPr="007B6974" w:rsidRDefault="00E228EC" w:rsidP="00E228EC">
            <w:pPr>
              <w:jc w:val="both"/>
              <w:rPr>
                <w:rFonts w:eastAsia="Calibri"/>
                <w:sz w:val="18"/>
                <w:szCs w:val="18"/>
              </w:rPr>
            </w:pPr>
            <w:r w:rsidRPr="007B6974">
              <w:rPr>
                <w:rFonts w:eastAsia="Calibri"/>
                <w:sz w:val="18"/>
                <w:szCs w:val="18"/>
              </w:rPr>
              <w:t xml:space="preserve">- основной долг – </w:t>
            </w:r>
            <w:r w:rsidRPr="007B6974">
              <w:rPr>
                <w:sz w:val="18"/>
                <w:szCs w:val="18"/>
              </w:rPr>
              <w:t xml:space="preserve">903 943,73 </w:t>
            </w:r>
            <w:r w:rsidRPr="007B6974">
              <w:rPr>
                <w:rFonts w:eastAsia="Calibri"/>
                <w:sz w:val="18"/>
                <w:szCs w:val="18"/>
              </w:rPr>
              <w:t>рубля;</w:t>
            </w:r>
          </w:p>
          <w:p w14:paraId="11DAA80A" w14:textId="77777777" w:rsidR="00E228EC" w:rsidRPr="007B6974" w:rsidRDefault="00E228EC" w:rsidP="00E228EC">
            <w:pPr>
              <w:jc w:val="both"/>
              <w:rPr>
                <w:rFonts w:eastAsia="Calibri"/>
                <w:sz w:val="18"/>
                <w:szCs w:val="18"/>
              </w:rPr>
            </w:pPr>
            <w:r w:rsidRPr="007B6974">
              <w:rPr>
                <w:rFonts w:eastAsia="Calibri"/>
                <w:sz w:val="18"/>
                <w:szCs w:val="18"/>
              </w:rPr>
              <w:t xml:space="preserve">- проценты - </w:t>
            </w:r>
            <w:r w:rsidRPr="007B6974">
              <w:rPr>
                <w:sz w:val="18"/>
                <w:szCs w:val="18"/>
              </w:rPr>
              <w:t xml:space="preserve">1 511 637,79 </w:t>
            </w:r>
            <w:r w:rsidRPr="007B6974">
              <w:rPr>
                <w:rFonts w:eastAsia="Calibri"/>
                <w:sz w:val="18"/>
                <w:szCs w:val="18"/>
              </w:rPr>
              <w:t>рублей;</w:t>
            </w:r>
          </w:p>
          <w:p w14:paraId="0C6D3891" w14:textId="77777777" w:rsidR="00E228EC" w:rsidRPr="007B6974" w:rsidRDefault="00E228EC" w:rsidP="00E228EC">
            <w:pPr>
              <w:jc w:val="both"/>
              <w:rPr>
                <w:rFonts w:eastAsia="Calibri"/>
                <w:sz w:val="18"/>
                <w:szCs w:val="18"/>
              </w:rPr>
            </w:pPr>
            <w:r w:rsidRPr="007B6974">
              <w:rPr>
                <w:rFonts w:eastAsia="Calibri"/>
                <w:sz w:val="18"/>
                <w:szCs w:val="18"/>
              </w:rPr>
              <w:t>- комиссии – 64 087,41 рублей;</w:t>
            </w:r>
          </w:p>
          <w:p w14:paraId="551FB73D" w14:textId="77777777" w:rsidR="00E228EC" w:rsidRPr="007B6974" w:rsidRDefault="00E228EC" w:rsidP="00E228EC">
            <w:pPr>
              <w:jc w:val="both"/>
              <w:rPr>
                <w:rFonts w:eastAsia="Calibri"/>
                <w:sz w:val="18"/>
                <w:szCs w:val="18"/>
              </w:rPr>
            </w:pPr>
            <w:r w:rsidRPr="007B6974">
              <w:rPr>
                <w:rFonts w:eastAsia="Calibri"/>
                <w:sz w:val="18"/>
                <w:szCs w:val="18"/>
              </w:rPr>
              <w:t>- неустойки (пени, штрафы) - 3 163 585,88 рублей.</w:t>
            </w:r>
          </w:p>
          <w:p w14:paraId="3CC59194" w14:textId="77777777" w:rsidR="00E228EC" w:rsidRPr="007B6974" w:rsidRDefault="00E228EC" w:rsidP="00E228EC">
            <w:pPr>
              <w:jc w:val="both"/>
              <w:rPr>
                <w:rFonts w:eastAsia="Calibri"/>
                <w:sz w:val="18"/>
                <w:szCs w:val="18"/>
              </w:rPr>
            </w:pPr>
            <w:r w:rsidRPr="007B6974">
              <w:rPr>
                <w:rFonts w:eastAsia="Calibri"/>
                <w:sz w:val="18"/>
                <w:szCs w:val="18"/>
              </w:rPr>
              <w:t>В отношении каждого Должника объем уступаемых прав (требований) по кредитному договору №117205/0095 от 03.06.2011 составляет:</w:t>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1170"/>
              <w:gridCol w:w="1170"/>
            </w:tblGrid>
            <w:tr w:rsidR="00E228EC" w:rsidRPr="001E22FE" w14:paraId="29812B9E" w14:textId="77777777" w:rsidTr="00511F0C">
              <w:trPr>
                <w:trHeight w:val="20"/>
              </w:trPr>
              <w:tc>
                <w:tcPr>
                  <w:tcW w:w="1170" w:type="dxa"/>
                  <w:shd w:val="clear" w:color="auto" w:fill="auto"/>
                  <w:vAlign w:val="center"/>
                  <w:hideMark/>
                </w:tcPr>
                <w:p w14:paraId="026E9C42" w14:textId="77777777" w:rsidR="00E228EC" w:rsidRPr="001E22FE" w:rsidRDefault="00E228EC" w:rsidP="00511F0C">
                  <w:pPr>
                    <w:jc w:val="center"/>
                    <w:rPr>
                      <w:color w:val="000000"/>
                      <w:sz w:val="16"/>
                      <w:szCs w:val="16"/>
                    </w:rPr>
                  </w:pPr>
                  <w:r w:rsidRPr="001E22FE">
                    <w:rPr>
                      <w:bCs/>
                      <w:color w:val="000000"/>
                      <w:sz w:val="16"/>
                      <w:szCs w:val="16"/>
                    </w:rPr>
                    <w:t>Должник</w:t>
                  </w:r>
                </w:p>
              </w:tc>
              <w:tc>
                <w:tcPr>
                  <w:tcW w:w="1170" w:type="dxa"/>
                  <w:shd w:val="clear" w:color="auto" w:fill="auto"/>
                  <w:vAlign w:val="center"/>
                  <w:hideMark/>
                </w:tcPr>
                <w:p w14:paraId="686D3A02" w14:textId="77777777" w:rsidR="00E228EC" w:rsidRPr="001E22FE" w:rsidRDefault="00E228EC" w:rsidP="00511F0C">
                  <w:pPr>
                    <w:jc w:val="center"/>
                    <w:rPr>
                      <w:color w:val="000000"/>
                      <w:sz w:val="16"/>
                      <w:szCs w:val="16"/>
                    </w:rPr>
                  </w:pPr>
                  <w:r w:rsidRPr="001E22FE">
                    <w:rPr>
                      <w:color w:val="000000"/>
                      <w:sz w:val="16"/>
                      <w:szCs w:val="16"/>
                    </w:rPr>
                    <w:t>ООО «Фабрика орудий лова»</w:t>
                  </w:r>
                </w:p>
              </w:tc>
              <w:tc>
                <w:tcPr>
                  <w:tcW w:w="1170" w:type="dxa"/>
                  <w:shd w:val="clear" w:color="auto" w:fill="auto"/>
                  <w:vAlign w:val="center"/>
                  <w:hideMark/>
                </w:tcPr>
                <w:p w14:paraId="41575B1C" w14:textId="77777777" w:rsidR="00E228EC" w:rsidRPr="001E22FE" w:rsidRDefault="00E228EC" w:rsidP="00511F0C">
                  <w:pPr>
                    <w:jc w:val="center"/>
                    <w:rPr>
                      <w:color w:val="000000"/>
                      <w:sz w:val="16"/>
                      <w:szCs w:val="16"/>
                    </w:rPr>
                  </w:pPr>
                  <w:r w:rsidRPr="001E22FE">
                    <w:rPr>
                      <w:color w:val="000000"/>
                      <w:sz w:val="16"/>
                      <w:szCs w:val="16"/>
                    </w:rPr>
                    <w:t>ООО «Бест Фиш»</w:t>
                  </w:r>
                </w:p>
              </w:tc>
              <w:tc>
                <w:tcPr>
                  <w:tcW w:w="1170" w:type="dxa"/>
                  <w:shd w:val="clear" w:color="auto" w:fill="auto"/>
                  <w:vAlign w:val="center"/>
                  <w:hideMark/>
                </w:tcPr>
                <w:p w14:paraId="4F4F1FBB" w14:textId="77777777" w:rsidR="00E228EC" w:rsidRPr="001E22FE" w:rsidRDefault="00E228EC" w:rsidP="00511F0C">
                  <w:pPr>
                    <w:jc w:val="center"/>
                    <w:rPr>
                      <w:color w:val="000000"/>
                      <w:sz w:val="16"/>
                      <w:szCs w:val="16"/>
                    </w:rPr>
                  </w:pPr>
                  <w:proofErr w:type="spellStart"/>
                  <w:r w:rsidRPr="001E22FE">
                    <w:rPr>
                      <w:color w:val="000000"/>
                      <w:sz w:val="16"/>
                      <w:szCs w:val="16"/>
                    </w:rPr>
                    <w:t>Биккерт</w:t>
                  </w:r>
                  <w:proofErr w:type="spellEnd"/>
                  <w:r w:rsidRPr="001E22FE">
                    <w:rPr>
                      <w:color w:val="000000"/>
                      <w:sz w:val="16"/>
                      <w:szCs w:val="16"/>
                    </w:rPr>
                    <w:t xml:space="preserve"> Виктор </w:t>
                  </w:r>
                  <w:proofErr w:type="spellStart"/>
                  <w:r w:rsidRPr="001E22FE">
                    <w:rPr>
                      <w:color w:val="000000"/>
                      <w:sz w:val="16"/>
                      <w:szCs w:val="16"/>
                    </w:rPr>
                    <w:t>Эмануилович</w:t>
                  </w:r>
                  <w:proofErr w:type="spellEnd"/>
                </w:p>
              </w:tc>
            </w:tr>
            <w:tr w:rsidR="00E228EC" w:rsidRPr="001E22FE" w14:paraId="67296558" w14:textId="77777777" w:rsidTr="00511F0C">
              <w:trPr>
                <w:trHeight w:val="20"/>
              </w:trPr>
              <w:tc>
                <w:tcPr>
                  <w:tcW w:w="1170" w:type="dxa"/>
                  <w:shd w:val="clear" w:color="auto" w:fill="auto"/>
                  <w:vAlign w:val="center"/>
                  <w:hideMark/>
                </w:tcPr>
                <w:p w14:paraId="5B730857" w14:textId="77777777" w:rsidR="00E228EC" w:rsidRPr="001E22FE" w:rsidRDefault="00E228EC" w:rsidP="00511F0C">
                  <w:pPr>
                    <w:jc w:val="both"/>
                    <w:rPr>
                      <w:color w:val="000000"/>
                      <w:sz w:val="16"/>
                      <w:szCs w:val="16"/>
                    </w:rPr>
                  </w:pPr>
                  <w:r w:rsidRPr="001E22FE">
                    <w:rPr>
                      <w:bCs/>
                      <w:color w:val="000000"/>
                      <w:sz w:val="16"/>
                      <w:szCs w:val="16"/>
                    </w:rPr>
                    <w:t>Основной долг</w:t>
                  </w:r>
                </w:p>
              </w:tc>
              <w:tc>
                <w:tcPr>
                  <w:tcW w:w="1170" w:type="dxa"/>
                  <w:shd w:val="clear" w:color="auto" w:fill="auto"/>
                  <w:vAlign w:val="center"/>
                  <w:hideMark/>
                </w:tcPr>
                <w:p w14:paraId="6713D76E" w14:textId="77777777" w:rsidR="00E228EC" w:rsidRPr="001E22FE" w:rsidRDefault="00E228EC" w:rsidP="00511F0C">
                  <w:pPr>
                    <w:jc w:val="right"/>
                    <w:rPr>
                      <w:color w:val="000000"/>
                      <w:sz w:val="16"/>
                      <w:szCs w:val="16"/>
                    </w:rPr>
                  </w:pPr>
                  <w:r w:rsidRPr="001E22FE">
                    <w:rPr>
                      <w:color w:val="000000"/>
                      <w:sz w:val="16"/>
                      <w:szCs w:val="16"/>
                    </w:rPr>
                    <w:t>903 943,73</w:t>
                  </w:r>
                </w:p>
              </w:tc>
              <w:tc>
                <w:tcPr>
                  <w:tcW w:w="1170" w:type="dxa"/>
                  <w:shd w:val="clear" w:color="auto" w:fill="auto"/>
                  <w:vAlign w:val="center"/>
                  <w:hideMark/>
                </w:tcPr>
                <w:p w14:paraId="7F3C9164" w14:textId="77777777" w:rsidR="00E228EC" w:rsidRPr="001E22FE" w:rsidRDefault="00E228EC" w:rsidP="00511F0C">
                  <w:pPr>
                    <w:jc w:val="right"/>
                    <w:rPr>
                      <w:color w:val="000000"/>
                      <w:sz w:val="16"/>
                      <w:szCs w:val="16"/>
                    </w:rPr>
                  </w:pPr>
                  <w:r w:rsidRPr="001E22FE">
                    <w:rPr>
                      <w:color w:val="000000"/>
                      <w:sz w:val="16"/>
                      <w:szCs w:val="16"/>
                    </w:rPr>
                    <w:t>903 943,73</w:t>
                  </w:r>
                </w:p>
              </w:tc>
              <w:tc>
                <w:tcPr>
                  <w:tcW w:w="1170" w:type="dxa"/>
                  <w:shd w:val="clear" w:color="auto" w:fill="auto"/>
                  <w:vAlign w:val="center"/>
                  <w:hideMark/>
                </w:tcPr>
                <w:p w14:paraId="51A2A1E3" w14:textId="77777777" w:rsidR="00E228EC" w:rsidRPr="001E22FE" w:rsidRDefault="00E228EC" w:rsidP="00511F0C">
                  <w:pPr>
                    <w:jc w:val="right"/>
                    <w:rPr>
                      <w:color w:val="000000"/>
                      <w:sz w:val="16"/>
                      <w:szCs w:val="16"/>
                    </w:rPr>
                  </w:pPr>
                  <w:r w:rsidRPr="001E22FE">
                    <w:rPr>
                      <w:color w:val="000000"/>
                      <w:sz w:val="16"/>
                      <w:szCs w:val="16"/>
                    </w:rPr>
                    <w:t>903 943,73</w:t>
                  </w:r>
                </w:p>
              </w:tc>
            </w:tr>
            <w:tr w:rsidR="00E228EC" w:rsidRPr="001E22FE" w14:paraId="003DC9AF" w14:textId="77777777" w:rsidTr="00511F0C">
              <w:trPr>
                <w:trHeight w:val="20"/>
              </w:trPr>
              <w:tc>
                <w:tcPr>
                  <w:tcW w:w="1170" w:type="dxa"/>
                  <w:shd w:val="clear" w:color="auto" w:fill="auto"/>
                  <w:vAlign w:val="center"/>
                  <w:hideMark/>
                </w:tcPr>
                <w:p w14:paraId="3A21BFAE" w14:textId="77777777" w:rsidR="00E228EC" w:rsidRPr="001E22FE" w:rsidRDefault="00E228EC" w:rsidP="00511F0C">
                  <w:pPr>
                    <w:jc w:val="both"/>
                    <w:rPr>
                      <w:color w:val="000000"/>
                      <w:sz w:val="16"/>
                      <w:szCs w:val="16"/>
                    </w:rPr>
                  </w:pPr>
                  <w:r w:rsidRPr="001E22FE">
                    <w:rPr>
                      <w:bCs/>
                      <w:color w:val="000000"/>
                      <w:sz w:val="16"/>
                      <w:szCs w:val="16"/>
                    </w:rPr>
                    <w:t>Проценты</w:t>
                  </w:r>
                </w:p>
              </w:tc>
              <w:tc>
                <w:tcPr>
                  <w:tcW w:w="1170" w:type="dxa"/>
                  <w:shd w:val="clear" w:color="auto" w:fill="auto"/>
                  <w:vAlign w:val="center"/>
                  <w:hideMark/>
                </w:tcPr>
                <w:p w14:paraId="3BC34077" w14:textId="77777777" w:rsidR="00E228EC" w:rsidRPr="001E22FE" w:rsidRDefault="00E228EC" w:rsidP="00511F0C">
                  <w:pPr>
                    <w:jc w:val="right"/>
                    <w:rPr>
                      <w:color w:val="000000"/>
                      <w:sz w:val="16"/>
                      <w:szCs w:val="16"/>
                    </w:rPr>
                  </w:pPr>
                  <w:r w:rsidRPr="001E22FE">
                    <w:rPr>
                      <w:color w:val="000000"/>
                      <w:sz w:val="16"/>
                      <w:szCs w:val="16"/>
                    </w:rPr>
                    <w:t>1 511 637,79</w:t>
                  </w:r>
                </w:p>
              </w:tc>
              <w:tc>
                <w:tcPr>
                  <w:tcW w:w="1170" w:type="dxa"/>
                  <w:shd w:val="clear" w:color="auto" w:fill="auto"/>
                  <w:vAlign w:val="center"/>
                  <w:hideMark/>
                </w:tcPr>
                <w:p w14:paraId="4C8CEF4B" w14:textId="77777777" w:rsidR="00E228EC" w:rsidRPr="001E22FE" w:rsidRDefault="00E228EC" w:rsidP="00511F0C">
                  <w:pPr>
                    <w:jc w:val="right"/>
                    <w:rPr>
                      <w:color w:val="000000"/>
                      <w:sz w:val="16"/>
                      <w:szCs w:val="16"/>
                    </w:rPr>
                  </w:pPr>
                  <w:r w:rsidRPr="001E22FE">
                    <w:rPr>
                      <w:color w:val="000000"/>
                      <w:sz w:val="16"/>
                      <w:szCs w:val="16"/>
                    </w:rPr>
                    <w:t>1 511 637,79</w:t>
                  </w:r>
                </w:p>
              </w:tc>
              <w:tc>
                <w:tcPr>
                  <w:tcW w:w="1170" w:type="dxa"/>
                  <w:shd w:val="clear" w:color="auto" w:fill="auto"/>
                  <w:vAlign w:val="center"/>
                  <w:hideMark/>
                </w:tcPr>
                <w:p w14:paraId="55C4F6D2"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2044E0AA" w14:textId="77777777" w:rsidTr="00511F0C">
              <w:trPr>
                <w:trHeight w:val="20"/>
              </w:trPr>
              <w:tc>
                <w:tcPr>
                  <w:tcW w:w="1170" w:type="dxa"/>
                  <w:shd w:val="clear" w:color="auto" w:fill="auto"/>
                  <w:vAlign w:val="center"/>
                  <w:hideMark/>
                </w:tcPr>
                <w:p w14:paraId="5D6EE78F" w14:textId="77777777" w:rsidR="00E228EC" w:rsidRPr="001E22FE" w:rsidRDefault="00E228EC" w:rsidP="00511F0C">
                  <w:pPr>
                    <w:jc w:val="both"/>
                    <w:rPr>
                      <w:color w:val="000000"/>
                      <w:sz w:val="16"/>
                      <w:szCs w:val="16"/>
                    </w:rPr>
                  </w:pPr>
                  <w:r w:rsidRPr="001E22FE">
                    <w:rPr>
                      <w:bCs/>
                      <w:color w:val="000000"/>
                      <w:sz w:val="16"/>
                      <w:szCs w:val="16"/>
                    </w:rPr>
                    <w:t>Комиссии</w:t>
                  </w:r>
                </w:p>
              </w:tc>
              <w:tc>
                <w:tcPr>
                  <w:tcW w:w="1170" w:type="dxa"/>
                  <w:shd w:val="clear" w:color="auto" w:fill="auto"/>
                  <w:vAlign w:val="center"/>
                  <w:hideMark/>
                </w:tcPr>
                <w:p w14:paraId="02B64081" w14:textId="77777777" w:rsidR="00E228EC" w:rsidRPr="001E22FE" w:rsidRDefault="00E228EC" w:rsidP="00511F0C">
                  <w:pPr>
                    <w:jc w:val="right"/>
                    <w:rPr>
                      <w:color w:val="000000"/>
                      <w:sz w:val="16"/>
                      <w:szCs w:val="16"/>
                    </w:rPr>
                  </w:pPr>
                  <w:r w:rsidRPr="001E22FE">
                    <w:rPr>
                      <w:color w:val="000000"/>
                      <w:sz w:val="16"/>
                      <w:szCs w:val="16"/>
                    </w:rPr>
                    <w:t>64 087,41</w:t>
                  </w:r>
                </w:p>
              </w:tc>
              <w:tc>
                <w:tcPr>
                  <w:tcW w:w="1170" w:type="dxa"/>
                  <w:shd w:val="clear" w:color="auto" w:fill="auto"/>
                  <w:vAlign w:val="center"/>
                  <w:hideMark/>
                </w:tcPr>
                <w:p w14:paraId="24D557C7" w14:textId="77777777" w:rsidR="00E228EC" w:rsidRPr="001E22FE" w:rsidRDefault="00E228EC" w:rsidP="00511F0C">
                  <w:pPr>
                    <w:jc w:val="right"/>
                    <w:rPr>
                      <w:color w:val="000000"/>
                      <w:sz w:val="16"/>
                      <w:szCs w:val="16"/>
                    </w:rPr>
                  </w:pPr>
                  <w:r w:rsidRPr="001E22FE">
                    <w:rPr>
                      <w:color w:val="000000"/>
                      <w:sz w:val="16"/>
                      <w:szCs w:val="16"/>
                    </w:rPr>
                    <w:t>64 087,41</w:t>
                  </w:r>
                </w:p>
              </w:tc>
              <w:tc>
                <w:tcPr>
                  <w:tcW w:w="1170" w:type="dxa"/>
                  <w:shd w:val="clear" w:color="auto" w:fill="auto"/>
                  <w:vAlign w:val="center"/>
                  <w:hideMark/>
                </w:tcPr>
                <w:p w14:paraId="279528A4"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048437DB" w14:textId="77777777" w:rsidTr="00511F0C">
              <w:trPr>
                <w:trHeight w:val="20"/>
              </w:trPr>
              <w:tc>
                <w:tcPr>
                  <w:tcW w:w="1170" w:type="dxa"/>
                  <w:shd w:val="clear" w:color="auto" w:fill="auto"/>
                  <w:vAlign w:val="center"/>
                  <w:hideMark/>
                </w:tcPr>
                <w:p w14:paraId="0D6B9F5F" w14:textId="77777777" w:rsidR="00E228EC" w:rsidRPr="001E22FE" w:rsidRDefault="00E228EC" w:rsidP="00511F0C">
                  <w:pPr>
                    <w:jc w:val="both"/>
                    <w:rPr>
                      <w:color w:val="000000"/>
                      <w:sz w:val="16"/>
                      <w:szCs w:val="16"/>
                    </w:rPr>
                  </w:pPr>
                  <w:r w:rsidRPr="001E22FE">
                    <w:rPr>
                      <w:bCs/>
                      <w:color w:val="000000"/>
                      <w:sz w:val="16"/>
                      <w:szCs w:val="16"/>
                    </w:rPr>
                    <w:t>Неустойки (пени, штрафы)</w:t>
                  </w:r>
                </w:p>
              </w:tc>
              <w:tc>
                <w:tcPr>
                  <w:tcW w:w="1170" w:type="dxa"/>
                  <w:shd w:val="clear" w:color="auto" w:fill="auto"/>
                  <w:vAlign w:val="center"/>
                  <w:hideMark/>
                </w:tcPr>
                <w:p w14:paraId="74CDA92B" w14:textId="77777777" w:rsidR="00E228EC" w:rsidRPr="001E22FE" w:rsidRDefault="00E228EC" w:rsidP="00511F0C">
                  <w:pPr>
                    <w:jc w:val="right"/>
                    <w:rPr>
                      <w:color w:val="000000"/>
                      <w:sz w:val="16"/>
                      <w:szCs w:val="16"/>
                    </w:rPr>
                  </w:pPr>
                  <w:r w:rsidRPr="001E22FE">
                    <w:rPr>
                      <w:color w:val="000000"/>
                      <w:sz w:val="16"/>
                      <w:szCs w:val="16"/>
                    </w:rPr>
                    <w:t>3 163 585,88</w:t>
                  </w:r>
                </w:p>
              </w:tc>
              <w:tc>
                <w:tcPr>
                  <w:tcW w:w="1170" w:type="dxa"/>
                  <w:shd w:val="clear" w:color="auto" w:fill="auto"/>
                  <w:vAlign w:val="center"/>
                  <w:hideMark/>
                </w:tcPr>
                <w:p w14:paraId="10DFD687" w14:textId="77777777" w:rsidR="00E228EC" w:rsidRPr="001E22FE" w:rsidRDefault="00E228EC" w:rsidP="00511F0C">
                  <w:pPr>
                    <w:jc w:val="right"/>
                    <w:rPr>
                      <w:color w:val="000000"/>
                      <w:sz w:val="16"/>
                      <w:szCs w:val="16"/>
                    </w:rPr>
                  </w:pPr>
                  <w:r w:rsidRPr="001E22FE">
                    <w:rPr>
                      <w:color w:val="000000"/>
                      <w:sz w:val="16"/>
                      <w:szCs w:val="16"/>
                    </w:rPr>
                    <w:t>3 163 585,88</w:t>
                  </w:r>
                </w:p>
              </w:tc>
              <w:tc>
                <w:tcPr>
                  <w:tcW w:w="1170" w:type="dxa"/>
                  <w:shd w:val="clear" w:color="auto" w:fill="auto"/>
                  <w:vAlign w:val="center"/>
                  <w:hideMark/>
                </w:tcPr>
                <w:p w14:paraId="7635AEEA"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603284C9" w14:textId="77777777" w:rsidTr="00511F0C">
              <w:trPr>
                <w:trHeight w:val="20"/>
              </w:trPr>
              <w:tc>
                <w:tcPr>
                  <w:tcW w:w="1170" w:type="dxa"/>
                  <w:shd w:val="clear" w:color="auto" w:fill="auto"/>
                  <w:vAlign w:val="center"/>
                  <w:hideMark/>
                </w:tcPr>
                <w:p w14:paraId="5F5F6EF3" w14:textId="77777777" w:rsidR="00E228EC" w:rsidRPr="001E22FE" w:rsidRDefault="00E228EC" w:rsidP="00511F0C">
                  <w:pPr>
                    <w:jc w:val="both"/>
                    <w:rPr>
                      <w:color w:val="000000"/>
                      <w:sz w:val="16"/>
                      <w:szCs w:val="16"/>
                    </w:rPr>
                  </w:pPr>
                  <w:r w:rsidRPr="001E22FE">
                    <w:rPr>
                      <w:bCs/>
                      <w:color w:val="000000"/>
                      <w:sz w:val="16"/>
                      <w:szCs w:val="16"/>
                    </w:rPr>
                    <w:t>Госпошлина</w:t>
                  </w:r>
                </w:p>
              </w:tc>
              <w:tc>
                <w:tcPr>
                  <w:tcW w:w="1170" w:type="dxa"/>
                  <w:shd w:val="clear" w:color="auto" w:fill="auto"/>
                  <w:vAlign w:val="center"/>
                  <w:hideMark/>
                </w:tcPr>
                <w:p w14:paraId="6B30486D" w14:textId="77777777" w:rsidR="00E228EC" w:rsidRPr="001E22FE" w:rsidRDefault="00E228EC" w:rsidP="00511F0C">
                  <w:pPr>
                    <w:jc w:val="right"/>
                    <w:rPr>
                      <w:color w:val="000000"/>
                      <w:sz w:val="16"/>
                      <w:szCs w:val="16"/>
                    </w:rPr>
                  </w:pPr>
                  <w:r w:rsidRPr="001E22FE">
                    <w:rPr>
                      <w:color w:val="000000"/>
                      <w:sz w:val="16"/>
                      <w:szCs w:val="16"/>
                    </w:rPr>
                    <w:t>0</w:t>
                  </w:r>
                </w:p>
              </w:tc>
              <w:tc>
                <w:tcPr>
                  <w:tcW w:w="1170" w:type="dxa"/>
                  <w:shd w:val="clear" w:color="auto" w:fill="auto"/>
                  <w:vAlign w:val="center"/>
                  <w:hideMark/>
                </w:tcPr>
                <w:p w14:paraId="365769DF" w14:textId="77777777" w:rsidR="00E228EC" w:rsidRPr="001E22FE" w:rsidRDefault="00E228EC" w:rsidP="00511F0C">
                  <w:pPr>
                    <w:jc w:val="right"/>
                    <w:rPr>
                      <w:color w:val="000000"/>
                      <w:sz w:val="16"/>
                      <w:szCs w:val="16"/>
                    </w:rPr>
                  </w:pPr>
                  <w:r w:rsidRPr="001E22FE">
                    <w:rPr>
                      <w:color w:val="000000"/>
                      <w:sz w:val="16"/>
                      <w:szCs w:val="16"/>
                    </w:rPr>
                    <w:t>0</w:t>
                  </w:r>
                </w:p>
              </w:tc>
              <w:tc>
                <w:tcPr>
                  <w:tcW w:w="1170" w:type="dxa"/>
                  <w:shd w:val="clear" w:color="auto" w:fill="auto"/>
                  <w:vAlign w:val="center"/>
                  <w:hideMark/>
                </w:tcPr>
                <w:p w14:paraId="5285559F"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073AD4D6" w14:textId="77777777" w:rsidTr="00511F0C">
              <w:trPr>
                <w:trHeight w:val="20"/>
              </w:trPr>
              <w:tc>
                <w:tcPr>
                  <w:tcW w:w="1170" w:type="dxa"/>
                  <w:shd w:val="clear" w:color="auto" w:fill="auto"/>
                  <w:vAlign w:val="center"/>
                  <w:hideMark/>
                </w:tcPr>
                <w:p w14:paraId="0D1CEC90" w14:textId="77777777" w:rsidR="00E228EC" w:rsidRPr="001E22FE" w:rsidRDefault="00E228EC" w:rsidP="00511F0C">
                  <w:pPr>
                    <w:jc w:val="both"/>
                    <w:rPr>
                      <w:color w:val="000000"/>
                      <w:sz w:val="16"/>
                      <w:szCs w:val="16"/>
                    </w:rPr>
                  </w:pPr>
                  <w:r w:rsidRPr="001E22FE">
                    <w:rPr>
                      <w:bCs/>
                      <w:color w:val="000000"/>
                      <w:sz w:val="16"/>
                      <w:szCs w:val="16"/>
                    </w:rPr>
                    <w:t>Итого</w:t>
                  </w:r>
                </w:p>
              </w:tc>
              <w:tc>
                <w:tcPr>
                  <w:tcW w:w="1170" w:type="dxa"/>
                  <w:shd w:val="clear" w:color="auto" w:fill="auto"/>
                  <w:vAlign w:val="center"/>
                  <w:hideMark/>
                </w:tcPr>
                <w:p w14:paraId="29AC061D" w14:textId="77777777" w:rsidR="00E228EC" w:rsidRPr="001E22FE" w:rsidRDefault="00E228EC" w:rsidP="00511F0C">
                  <w:pPr>
                    <w:jc w:val="right"/>
                    <w:rPr>
                      <w:color w:val="000000"/>
                      <w:sz w:val="16"/>
                      <w:szCs w:val="16"/>
                    </w:rPr>
                  </w:pPr>
                  <w:r w:rsidRPr="001E22FE">
                    <w:rPr>
                      <w:color w:val="000000"/>
                      <w:sz w:val="16"/>
                      <w:szCs w:val="16"/>
                    </w:rPr>
                    <w:t>5 643 254,81</w:t>
                  </w:r>
                </w:p>
              </w:tc>
              <w:tc>
                <w:tcPr>
                  <w:tcW w:w="1170" w:type="dxa"/>
                  <w:shd w:val="clear" w:color="auto" w:fill="auto"/>
                  <w:vAlign w:val="center"/>
                  <w:hideMark/>
                </w:tcPr>
                <w:p w14:paraId="47734A0C" w14:textId="77777777" w:rsidR="00E228EC" w:rsidRPr="001E22FE" w:rsidRDefault="00E228EC" w:rsidP="00511F0C">
                  <w:pPr>
                    <w:jc w:val="right"/>
                    <w:rPr>
                      <w:color w:val="000000"/>
                      <w:sz w:val="16"/>
                      <w:szCs w:val="16"/>
                    </w:rPr>
                  </w:pPr>
                  <w:r w:rsidRPr="001E22FE">
                    <w:rPr>
                      <w:color w:val="000000"/>
                      <w:sz w:val="16"/>
                      <w:szCs w:val="16"/>
                    </w:rPr>
                    <w:t>5 643 254,81</w:t>
                  </w:r>
                </w:p>
              </w:tc>
              <w:tc>
                <w:tcPr>
                  <w:tcW w:w="1170" w:type="dxa"/>
                  <w:shd w:val="clear" w:color="auto" w:fill="auto"/>
                  <w:vAlign w:val="center"/>
                  <w:hideMark/>
                </w:tcPr>
                <w:p w14:paraId="2CEC7B16" w14:textId="77777777" w:rsidR="00E228EC" w:rsidRPr="001E22FE" w:rsidRDefault="00E228EC" w:rsidP="00511F0C">
                  <w:pPr>
                    <w:jc w:val="right"/>
                    <w:rPr>
                      <w:color w:val="000000"/>
                      <w:sz w:val="16"/>
                      <w:szCs w:val="16"/>
                    </w:rPr>
                  </w:pPr>
                  <w:r w:rsidRPr="001E22FE">
                    <w:rPr>
                      <w:color w:val="000000"/>
                      <w:sz w:val="16"/>
                      <w:szCs w:val="16"/>
                    </w:rPr>
                    <w:t>903 943,73</w:t>
                  </w:r>
                </w:p>
              </w:tc>
            </w:tr>
          </w:tbl>
          <w:p w14:paraId="7703C10C" w14:textId="77777777" w:rsidR="00E228EC" w:rsidRDefault="00E228EC" w:rsidP="00E228EC">
            <w:pPr>
              <w:jc w:val="both"/>
              <w:rPr>
                <w:rFonts w:eastAsia="Calibri"/>
              </w:rPr>
            </w:pPr>
          </w:p>
          <w:p w14:paraId="6611E91C" w14:textId="77777777" w:rsidR="00E228EC" w:rsidRPr="007B6974" w:rsidRDefault="00E228EC" w:rsidP="00E228EC">
            <w:pPr>
              <w:jc w:val="both"/>
              <w:rPr>
                <w:rFonts w:eastAsia="Calibri"/>
                <w:sz w:val="18"/>
                <w:szCs w:val="18"/>
              </w:rPr>
            </w:pPr>
            <w:r w:rsidRPr="007B6974">
              <w:rPr>
                <w:rFonts w:eastAsia="Calibri"/>
                <w:sz w:val="18"/>
                <w:szCs w:val="18"/>
              </w:rPr>
              <w:t>по кредитному договору №117205/0275 от 29.12.2011 объем уступаемых прав (требований) составляет 32 775 784,65 рублей, в том числе:</w:t>
            </w:r>
          </w:p>
          <w:p w14:paraId="5828CBD6" w14:textId="77777777" w:rsidR="00E228EC" w:rsidRPr="007B6974" w:rsidRDefault="00E228EC" w:rsidP="00E228EC">
            <w:pPr>
              <w:jc w:val="both"/>
              <w:rPr>
                <w:rFonts w:eastAsia="Calibri"/>
                <w:sz w:val="18"/>
                <w:szCs w:val="18"/>
              </w:rPr>
            </w:pPr>
            <w:r w:rsidRPr="007B6974">
              <w:rPr>
                <w:rFonts w:eastAsia="Calibri"/>
                <w:sz w:val="18"/>
                <w:szCs w:val="18"/>
              </w:rPr>
              <w:t xml:space="preserve">- основной долг - </w:t>
            </w:r>
            <w:r w:rsidRPr="007B6974">
              <w:rPr>
                <w:sz w:val="18"/>
                <w:szCs w:val="18"/>
              </w:rPr>
              <w:t>13 356 439,89</w:t>
            </w:r>
            <w:r w:rsidRPr="007B6974">
              <w:rPr>
                <w:rFonts w:eastAsia="Calibri"/>
                <w:sz w:val="18"/>
                <w:szCs w:val="18"/>
              </w:rPr>
              <w:t xml:space="preserve"> рублей;</w:t>
            </w:r>
          </w:p>
          <w:p w14:paraId="3020A377" w14:textId="77777777" w:rsidR="00E228EC" w:rsidRPr="007B6974" w:rsidRDefault="00E228EC" w:rsidP="00E228EC">
            <w:pPr>
              <w:jc w:val="both"/>
              <w:rPr>
                <w:rFonts w:eastAsia="Calibri"/>
                <w:sz w:val="18"/>
                <w:szCs w:val="18"/>
              </w:rPr>
            </w:pPr>
            <w:r w:rsidRPr="007B6974">
              <w:rPr>
                <w:rFonts w:eastAsia="Calibri"/>
                <w:sz w:val="18"/>
                <w:szCs w:val="18"/>
              </w:rPr>
              <w:t xml:space="preserve">- проценты - </w:t>
            </w:r>
            <w:r w:rsidRPr="007B6974">
              <w:rPr>
                <w:sz w:val="18"/>
                <w:szCs w:val="18"/>
              </w:rPr>
              <w:t>12 005 613,93</w:t>
            </w:r>
            <w:r w:rsidRPr="007B6974">
              <w:rPr>
                <w:rFonts w:eastAsia="Calibri"/>
                <w:sz w:val="18"/>
                <w:szCs w:val="18"/>
              </w:rPr>
              <w:t xml:space="preserve"> рубля;</w:t>
            </w:r>
          </w:p>
          <w:p w14:paraId="6F2BD416" w14:textId="77777777" w:rsidR="00E228EC" w:rsidRPr="007B6974" w:rsidRDefault="00E228EC" w:rsidP="00E228EC">
            <w:pPr>
              <w:jc w:val="both"/>
              <w:rPr>
                <w:rFonts w:eastAsia="Calibri"/>
                <w:sz w:val="18"/>
                <w:szCs w:val="18"/>
              </w:rPr>
            </w:pPr>
            <w:r w:rsidRPr="007B6974">
              <w:rPr>
                <w:rFonts w:eastAsia="Calibri"/>
                <w:sz w:val="18"/>
                <w:szCs w:val="18"/>
              </w:rPr>
              <w:t>- комиссии – 239 001,77 рублей;</w:t>
            </w:r>
          </w:p>
          <w:p w14:paraId="7F74313F" w14:textId="77777777" w:rsidR="00E228EC" w:rsidRPr="007B6974" w:rsidRDefault="00E228EC" w:rsidP="00E228EC">
            <w:pPr>
              <w:jc w:val="both"/>
              <w:rPr>
                <w:rFonts w:eastAsia="Calibri"/>
                <w:sz w:val="18"/>
                <w:szCs w:val="18"/>
              </w:rPr>
            </w:pPr>
            <w:r w:rsidRPr="007B6974">
              <w:rPr>
                <w:rFonts w:eastAsia="Calibri"/>
                <w:sz w:val="18"/>
                <w:szCs w:val="18"/>
              </w:rPr>
              <w:t>- неустойки (пени, штрафы) - 7 168 729,06 рублей;</w:t>
            </w:r>
          </w:p>
          <w:p w14:paraId="27923566" w14:textId="77777777" w:rsidR="00E228EC" w:rsidRPr="007B6974" w:rsidRDefault="00E228EC" w:rsidP="00E228EC">
            <w:pPr>
              <w:jc w:val="both"/>
              <w:rPr>
                <w:rFonts w:eastAsia="Calibri"/>
                <w:sz w:val="18"/>
                <w:szCs w:val="18"/>
              </w:rPr>
            </w:pPr>
            <w:r w:rsidRPr="007B6974">
              <w:rPr>
                <w:rFonts w:eastAsia="Calibri"/>
                <w:sz w:val="18"/>
                <w:szCs w:val="18"/>
              </w:rPr>
              <w:t>- госпошлина – 6 000,00 рублей.</w:t>
            </w:r>
          </w:p>
          <w:p w14:paraId="2F17591B" w14:textId="77777777" w:rsidR="00E228EC" w:rsidRPr="007B6974" w:rsidRDefault="00E228EC" w:rsidP="00E228EC">
            <w:pPr>
              <w:jc w:val="both"/>
              <w:rPr>
                <w:rFonts w:eastAsia="Calibri"/>
                <w:sz w:val="18"/>
                <w:szCs w:val="18"/>
              </w:rPr>
            </w:pPr>
            <w:r w:rsidRPr="007B6974">
              <w:rPr>
                <w:rFonts w:eastAsia="Calibri"/>
                <w:sz w:val="18"/>
                <w:szCs w:val="18"/>
              </w:rPr>
              <w:t>В отношении каждого Должника объем уступаемых прав (требований) по кредитному договору №117205/0275 от 29.12.2011 составляет:</w:t>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1170"/>
              <w:gridCol w:w="1170"/>
            </w:tblGrid>
            <w:tr w:rsidR="00E228EC" w:rsidRPr="001E22FE" w14:paraId="747FF97A" w14:textId="77777777" w:rsidTr="00511F0C">
              <w:trPr>
                <w:trHeight w:val="20"/>
              </w:trPr>
              <w:tc>
                <w:tcPr>
                  <w:tcW w:w="1170" w:type="dxa"/>
                  <w:shd w:val="clear" w:color="auto" w:fill="auto"/>
                  <w:vAlign w:val="center"/>
                  <w:hideMark/>
                </w:tcPr>
                <w:p w14:paraId="2DC22C7D" w14:textId="77777777" w:rsidR="00E228EC" w:rsidRPr="001E22FE" w:rsidRDefault="00E228EC" w:rsidP="00511F0C">
                  <w:pPr>
                    <w:jc w:val="center"/>
                    <w:rPr>
                      <w:color w:val="000000"/>
                      <w:sz w:val="16"/>
                      <w:szCs w:val="16"/>
                    </w:rPr>
                  </w:pPr>
                  <w:r w:rsidRPr="001E22FE">
                    <w:rPr>
                      <w:bCs/>
                      <w:color w:val="000000"/>
                      <w:sz w:val="16"/>
                      <w:szCs w:val="16"/>
                    </w:rPr>
                    <w:t>Должник</w:t>
                  </w:r>
                </w:p>
              </w:tc>
              <w:tc>
                <w:tcPr>
                  <w:tcW w:w="1170" w:type="dxa"/>
                  <w:shd w:val="clear" w:color="auto" w:fill="auto"/>
                  <w:vAlign w:val="center"/>
                  <w:hideMark/>
                </w:tcPr>
                <w:p w14:paraId="0D317C6C" w14:textId="77777777" w:rsidR="00E228EC" w:rsidRPr="001E22FE" w:rsidRDefault="00E228EC" w:rsidP="00511F0C">
                  <w:pPr>
                    <w:jc w:val="center"/>
                    <w:rPr>
                      <w:color w:val="000000"/>
                      <w:sz w:val="16"/>
                      <w:szCs w:val="16"/>
                    </w:rPr>
                  </w:pPr>
                  <w:r w:rsidRPr="001E22FE">
                    <w:rPr>
                      <w:color w:val="000000"/>
                      <w:sz w:val="16"/>
                      <w:szCs w:val="16"/>
                    </w:rPr>
                    <w:t>ООО «Фабрика орудий лова»</w:t>
                  </w:r>
                </w:p>
              </w:tc>
              <w:tc>
                <w:tcPr>
                  <w:tcW w:w="1170" w:type="dxa"/>
                  <w:shd w:val="clear" w:color="auto" w:fill="auto"/>
                  <w:vAlign w:val="center"/>
                  <w:hideMark/>
                </w:tcPr>
                <w:p w14:paraId="3E7EF9E0" w14:textId="77777777" w:rsidR="00E228EC" w:rsidRPr="001E22FE" w:rsidRDefault="00E228EC" w:rsidP="00511F0C">
                  <w:pPr>
                    <w:jc w:val="center"/>
                    <w:rPr>
                      <w:color w:val="000000"/>
                      <w:sz w:val="16"/>
                      <w:szCs w:val="16"/>
                    </w:rPr>
                  </w:pPr>
                  <w:r w:rsidRPr="001E22FE">
                    <w:rPr>
                      <w:color w:val="000000"/>
                      <w:sz w:val="16"/>
                      <w:szCs w:val="16"/>
                    </w:rPr>
                    <w:t>ООО «Бест Фиш»</w:t>
                  </w:r>
                </w:p>
              </w:tc>
              <w:tc>
                <w:tcPr>
                  <w:tcW w:w="1170" w:type="dxa"/>
                  <w:shd w:val="clear" w:color="auto" w:fill="auto"/>
                  <w:vAlign w:val="center"/>
                  <w:hideMark/>
                </w:tcPr>
                <w:p w14:paraId="2844DA85" w14:textId="77777777" w:rsidR="00E228EC" w:rsidRPr="001E22FE" w:rsidRDefault="00E228EC" w:rsidP="00511F0C">
                  <w:pPr>
                    <w:jc w:val="center"/>
                    <w:rPr>
                      <w:color w:val="000000"/>
                      <w:sz w:val="16"/>
                      <w:szCs w:val="16"/>
                    </w:rPr>
                  </w:pPr>
                  <w:proofErr w:type="spellStart"/>
                  <w:r w:rsidRPr="001E22FE">
                    <w:rPr>
                      <w:color w:val="000000"/>
                      <w:sz w:val="16"/>
                      <w:szCs w:val="16"/>
                    </w:rPr>
                    <w:t>Биккерт</w:t>
                  </w:r>
                  <w:proofErr w:type="spellEnd"/>
                  <w:r w:rsidRPr="001E22FE">
                    <w:rPr>
                      <w:color w:val="000000"/>
                      <w:sz w:val="16"/>
                      <w:szCs w:val="16"/>
                    </w:rPr>
                    <w:t xml:space="preserve"> Виктор </w:t>
                  </w:r>
                  <w:proofErr w:type="spellStart"/>
                  <w:r w:rsidRPr="001E22FE">
                    <w:rPr>
                      <w:color w:val="000000"/>
                      <w:sz w:val="16"/>
                      <w:szCs w:val="16"/>
                    </w:rPr>
                    <w:t>Эмануилович</w:t>
                  </w:r>
                  <w:proofErr w:type="spellEnd"/>
                </w:p>
              </w:tc>
            </w:tr>
            <w:tr w:rsidR="00E228EC" w:rsidRPr="001E22FE" w14:paraId="48B64BF9" w14:textId="77777777" w:rsidTr="00511F0C">
              <w:trPr>
                <w:trHeight w:val="20"/>
              </w:trPr>
              <w:tc>
                <w:tcPr>
                  <w:tcW w:w="1170" w:type="dxa"/>
                  <w:shd w:val="clear" w:color="auto" w:fill="auto"/>
                  <w:vAlign w:val="center"/>
                  <w:hideMark/>
                </w:tcPr>
                <w:p w14:paraId="6C92C35D" w14:textId="77777777" w:rsidR="00E228EC" w:rsidRPr="001E22FE" w:rsidRDefault="00E228EC" w:rsidP="00511F0C">
                  <w:pPr>
                    <w:jc w:val="both"/>
                    <w:rPr>
                      <w:color w:val="000000"/>
                      <w:sz w:val="16"/>
                      <w:szCs w:val="16"/>
                    </w:rPr>
                  </w:pPr>
                  <w:r w:rsidRPr="001E22FE">
                    <w:rPr>
                      <w:bCs/>
                      <w:color w:val="000000"/>
                      <w:sz w:val="16"/>
                      <w:szCs w:val="16"/>
                    </w:rPr>
                    <w:t>Основной долг</w:t>
                  </w:r>
                </w:p>
              </w:tc>
              <w:tc>
                <w:tcPr>
                  <w:tcW w:w="1170" w:type="dxa"/>
                  <w:shd w:val="clear" w:color="auto" w:fill="auto"/>
                  <w:vAlign w:val="center"/>
                  <w:hideMark/>
                </w:tcPr>
                <w:p w14:paraId="555DC557" w14:textId="77777777" w:rsidR="00E228EC" w:rsidRPr="001E22FE" w:rsidRDefault="00E228EC" w:rsidP="00511F0C">
                  <w:pPr>
                    <w:jc w:val="right"/>
                    <w:rPr>
                      <w:color w:val="000000"/>
                      <w:sz w:val="16"/>
                      <w:szCs w:val="16"/>
                    </w:rPr>
                  </w:pPr>
                  <w:r w:rsidRPr="001E22FE">
                    <w:rPr>
                      <w:color w:val="000000"/>
                      <w:sz w:val="16"/>
                      <w:szCs w:val="16"/>
                    </w:rPr>
                    <w:t>13 356 439,89</w:t>
                  </w:r>
                </w:p>
              </w:tc>
              <w:tc>
                <w:tcPr>
                  <w:tcW w:w="1170" w:type="dxa"/>
                  <w:shd w:val="clear" w:color="auto" w:fill="auto"/>
                  <w:vAlign w:val="center"/>
                  <w:hideMark/>
                </w:tcPr>
                <w:p w14:paraId="09686C81" w14:textId="77777777" w:rsidR="00E228EC" w:rsidRPr="001E22FE" w:rsidRDefault="00E228EC" w:rsidP="00511F0C">
                  <w:pPr>
                    <w:jc w:val="right"/>
                    <w:rPr>
                      <w:color w:val="000000"/>
                      <w:sz w:val="16"/>
                      <w:szCs w:val="16"/>
                    </w:rPr>
                  </w:pPr>
                  <w:r w:rsidRPr="001E22FE">
                    <w:rPr>
                      <w:color w:val="000000"/>
                      <w:sz w:val="16"/>
                      <w:szCs w:val="16"/>
                    </w:rPr>
                    <w:t>13 356 439,89</w:t>
                  </w:r>
                </w:p>
              </w:tc>
              <w:tc>
                <w:tcPr>
                  <w:tcW w:w="1170" w:type="dxa"/>
                  <w:shd w:val="clear" w:color="auto" w:fill="auto"/>
                  <w:vAlign w:val="center"/>
                  <w:hideMark/>
                </w:tcPr>
                <w:p w14:paraId="061758CC" w14:textId="77777777" w:rsidR="00E228EC" w:rsidRPr="001E22FE" w:rsidRDefault="00E228EC" w:rsidP="00511F0C">
                  <w:pPr>
                    <w:jc w:val="right"/>
                    <w:rPr>
                      <w:color w:val="000000"/>
                      <w:sz w:val="16"/>
                      <w:szCs w:val="16"/>
                    </w:rPr>
                  </w:pPr>
                  <w:r w:rsidRPr="001E22FE">
                    <w:rPr>
                      <w:color w:val="000000"/>
                      <w:sz w:val="16"/>
                      <w:szCs w:val="16"/>
                    </w:rPr>
                    <w:t>13 356 439,89</w:t>
                  </w:r>
                </w:p>
              </w:tc>
            </w:tr>
            <w:tr w:rsidR="00E228EC" w:rsidRPr="001E22FE" w14:paraId="41F34EE9" w14:textId="77777777" w:rsidTr="00511F0C">
              <w:trPr>
                <w:trHeight w:val="20"/>
              </w:trPr>
              <w:tc>
                <w:tcPr>
                  <w:tcW w:w="1170" w:type="dxa"/>
                  <w:shd w:val="clear" w:color="auto" w:fill="auto"/>
                  <w:vAlign w:val="center"/>
                  <w:hideMark/>
                </w:tcPr>
                <w:p w14:paraId="148D5C56" w14:textId="77777777" w:rsidR="00E228EC" w:rsidRPr="001E22FE" w:rsidRDefault="00E228EC" w:rsidP="00511F0C">
                  <w:pPr>
                    <w:jc w:val="both"/>
                    <w:rPr>
                      <w:color w:val="000000"/>
                      <w:sz w:val="16"/>
                      <w:szCs w:val="16"/>
                    </w:rPr>
                  </w:pPr>
                  <w:r w:rsidRPr="001E22FE">
                    <w:rPr>
                      <w:bCs/>
                      <w:color w:val="000000"/>
                      <w:sz w:val="16"/>
                      <w:szCs w:val="16"/>
                    </w:rPr>
                    <w:t>Проценты</w:t>
                  </w:r>
                </w:p>
              </w:tc>
              <w:tc>
                <w:tcPr>
                  <w:tcW w:w="1170" w:type="dxa"/>
                  <w:shd w:val="clear" w:color="auto" w:fill="auto"/>
                  <w:vAlign w:val="center"/>
                  <w:hideMark/>
                </w:tcPr>
                <w:p w14:paraId="0E1C10A8" w14:textId="77777777" w:rsidR="00E228EC" w:rsidRPr="001E22FE" w:rsidRDefault="00E228EC" w:rsidP="00511F0C">
                  <w:pPr>
                    <w:jc w:val="right"/>
                    <w:rPr>
                      <w:color w:val="000000"/>
                      <w:sz w:val="16"/>
                      <w:szCs w:val="16"/>
                    </w:rPr>
                  </w:pPr>
                  <w:r w:rsidRPr="001E22FE">
                    <w:rPr>
                      <w:color w:val="000000"/>
                      <w:sz w:val="16"/>
                      <w:szCs w:val="16"/>
                    </w:rPr>
                    <w:t>12 005 613,93</w:t>
                  </w:r>
                </w:p>
              </w:tc>
              <w:tc>
                <w:tcPr>
                  <w:tcW w:w="1170" w:type="dxa"/>
                  <w:shd w:val="clear" w:color="auto" w:fill="auto"/>
                  <w:vAlign w:val="center"/>
                  <w:hideMark/>
                </w:tcPr>
                <w:p w14:paraId="65B7C676" w14:textId="77777777" w:rsidR="00E228EC" w:rsidRPr="001E22FE" w:rsidRDefault="00E228EC" w:rsidP="00511F0C">
                  <w:pPr>
                    <w:jc w:val="right"/>
                    <w:rPr>
                      <w:color w:val="000000"/>
                      <w:sz w:val="16"/>
                      <w:szCs w:val="16"/>
                    </w:rPr>
                  </w:pPr>
                  <w:r w:rsidRPr="001E22FE">
                    <w:rPr>
                      <w:color w:val="000000"/>
                      <w:sz w:val="16"/>
                      <w:szCs w:val="16"/>
                    </w:rPr>
                    <w:t>12 005 613,93</w:t>
                  </w:r>
                </w:p>
              </w:tc>
              <w:tc>
                <w:tcPr>
                  <w:tcW w:w="1170" w:type="dxa"/>
                  <w:shd w:val="clear" w:color="auto" w:fill="auto"/>
                  <w:vAlign w:val="center"/>
                  <w:hideMark/>
                </w:tcPr>
                <w:p w14:paraId="56457701"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5D6AB08A" w14:textId="77777777" w:rsidTr="00511F0C">
              <w:trPr>
                <w:trHeight w:val="20"/>
              </w:trPr>
              <w:tc>
                <w:tcPr>
                  <w:tcW w:w="1170" w:type="dxa"/>
                  <w:shd w:val="clear" w:color="auto" w:fill="auto"/>
                  <w:vAlign w:val="center"/>
                  <w:hideMark/>
                </w:tcPr>
                <w:p w14:paraId="2E27098D" w14:textId="77777777" w:rsidR="00E228EC" w:rsidRPr="001E22FE" w:rsidRDefault="00E228EC" w:rsidP="00511F0C">
                  <w:pPr>
                    <w:jc w:val="both"/>
                    <w:rPr>
                      <w:color w:val="000000"/>
                      <w:sz w:val="16"/>
                      <w:szCs w:val="16"/>
                    </w:rPr>
                  </w:pPr>
                  <w:r w:rsidRPr="001E22FE">
                    <w:rPr>
                      <w:bCs/>
                      <w:color w:val="000000"/>
                      <w:sz w:val="16"/>
                      <w:szCs w:val="16"/>
                    </w:rPr>
                    <w:t>Комиссии</w:t>
                  </w:r>
                </w:p>
              </w:tc>
              <w:tc>
                <w:tcPr>
                  <w:tcW w:w="1170" w:type="dxa"/>
                  <w:shd w:val="clear" w:color="auto" w:fill="auto"/>
                  <w:vAlign w:val="center"/>
                  <w:hideMark/>
                </w:tcPr>
                <w:p w14:paraId="2AA635F3" w14:textId="77777777" w:rsidR="00E228EC" w:rsidRPr="001E22FE" w:rsidRDefault="00E228EC" w:rsidP="00511F0C">
                  <w:pPr>
                    <w:jc w:val="right"/>
                    <w:rPr>
                      <w:color w:val="000000"/>
                      <w:sz w:val="16"/>
                      <w:szCs w:val="16"/>
                    </w:rPr>
                  </w:pPr>
                  <w:r w:rsidRPr="001E22FE">
                    <w:rPr>
                      <w:color w:val="000000"/>
                      <w:sz w:val="16"/>
                      <w:szCs w:val="16"/>
                    </w:rPr>
                    <w:t>239 001,77</w:t>
                  </w:r>
                </w:p>
              </w:tc>
              <w:tc>
                <w:tcPr>
                  <w:tcW w:w="1170" w:type="dxa"/>
                  <w:shd w:val="clear" w:color="auto" w:fill="auto"/>
                  <w:vAlign w:val="center"/>
                  <w:hideMark/>
                </w:tcPr>
                <w:p w14:paraId="457068F1" w14:textId="77777777" w:rsidR="00E228EC" w:rsidRPr="001E22FE" w:rsidRDefault="00E228EC" w:rsidP="00511F0C">
                  <w:pPr>
                    <w:jc w:val="right"/>
                    <w:rPr>
                      <w:color w:val="000000"/>
                      <w:sz w:val="16"/>
                      <w:szCs w:val="16"/>
                    </w:rPr>
                  </w:pPr>
                  <w:r w:rsidRPr="001E22FE">
                    <w:rPr>
                      <w:color w:val="000000"/>
                      <w:sz w:val="16"/>
                      <w:szCs w:val="16"/>
                    </w:rPr>
                    <w:t>239 001,77</w:t>
                  </w:r>
                </w:p>
              </w:tc>
              <w:tc>
                <w:tcPr>
                  <w:tcW w:w="1170" w:type="dxa"/>
                  <w:shd w:val="clear" w:color="auto" w:fill="auto"/>
                  <w:vAlign w:val="center"/>
                  <w:hideMark/>
                </w:tcPr>
                <w:p w14:paraId="0476D233"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63395FC7" w14:textId="77777777" w:rsidTr="00511F0C">
              <w:trPr>
                <w:trHeight w:val="20"/>
              </w:trPr>
              <w:tc>
                <w:tcPr>
                  <w:tcW w:w="1170" w:type="dxa"/>
                  <w:shd w:val="clear" w:color="auto" w:fill="auto"/>
                  <w:vAlign w:val="center"/>
                  <w:hideMark/>
                </w:tcPr>
                <w:p w14:paraId="610378F2" w14:textId="77777777" w:rsidR="00E228EC" w:rsidRPr="001E22FE" w:rsidRDefault="00E228EC" w:rsidP="00511F0C">
                  <w:pPr>
                    <w:jc w:val="both"/>
                    <w:rPr>
                      <w:color w:val="000000"/>
                      <w:sz w:val="16"/>
                      <w:szCs w:val="16"/>
                    </w:rPr>
                  </w:pPr>
                  <w:r w:rsidRPr="001E22FE">
                    <w:rPr>
                      <w:bCs/>
                      <w:color w:val="000000"/>
                      <w:sz w:val="16"/>
                      <w:szCs w:val="16"/>
                    </w:rPr>
                    <w:t>Неустойки (пени, штрафы)</w:t>
                  </w:r>
                </w:p>
              </w:tc>
              <w:tc>
                <w:tcPr>
                  <w:tcW w:w="1170" w:type="dxa"/>
                  <w:shd w:val="clear" w:color="auto" w:fill="auto"/>
                  <w:vAlign w:val="center"/>
                  <w:hideMark/>
                </w:tcPr>
                <w:p w14:paraId="5D43BB72" w14:textId="77777777" w:rsidR="00E228EC" w:rsidRPr="001E22FE" w:rsidRDefault="00E228EC" w:rsidP="00511F0C">
                  <w:pPr>
                    <w:jc w:val="right"/>
                    <w:rPr>
                      <w:color w:val="000000"/>
                      <w:sz w:val="16"/>
                      <w:szCs w:val="16"/>
                    </w:rPr>
                  </w:pPr>
                  <w:r w:rsidRPr="001E22FE">
                    <w:rPr>
                      <w:color w:val="000000"/>
                      <w:sz w:val="16"/>
                      <w:szCs w:val="16"/>
                    </w:rPr>
                    <w:t>7 168 729,06</w:t>
                  </w:r>
                </w:p>
              </w:tc>
              <w:tc>
                <w:tcPr>
                  <w:tcW w:w="1170" w:type="dxa"/>
                  <w:shd w:val="clear" w:color="auto" w:fill="auto"/>
                  <w:vAlign w:val="center"/>
                  <w:hideMark/>
                </w:tcPr>
                <w:p w14:paraId="0A7AF4F6" w14:textId="77777777" w:rsidR="00E228EC" w:rsidRPr="001E22FE" w:rsidRDefault="00E228EC" w:rsidP="00511F0C">
                  <w:pPr>
                    <w:jc w:val="right"/>
                    <w:rPr>
                      <w:color w:val="000000"/>
                      <w:sz w:val="16"/>
                      <w:szCs w:val="16"/>
                    </w:rPr>
                  </w:pPr>
                  <w:r w:rsidRPr="001E22FE">
                    <w:rPr>
                      <w:color w:val="000000"/>
                      <w:sz w:val="16"/>
                      <w:szCs w:val="16"/>
                    </w:rPr>
                    <w:t>7 168 729,06</w:t>
                  </w:r>
                </w:p>
              </w:tc>
              <w:tc>
                <w:tcPr>
                  <w:tcW w:w="1170" w:type="dxa"/>
                  <w:shd w:val="clear" w:color="auto" w:fill="auto"/>
                  <w:vAlign w:val="center"/>
                  <w:hideMark/>
                </w:tcPr>
                <w:p w14:paraId="2A142E1A"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01AB0350" w14:textId="77777777" w:rsidTr="00511F0C">
              <w:trPr>
                <w:trHeight w:val="20"/>
              </w:trPr>
              <w:tc>
                <w:tcPr>
                  <w:tcW w:w="1170" w:type="dxa"/>
                  <w:shd w:val="clear" w:color="auto" w:fill="auto"/>
                  <w:vAlign w:val="center"/>
                  <w:hideMark/>
                </w:tcPr>
                <w:p w14:paraId="2B1C484F" w14:textId="77777777" w:rsidR="00E228EC" w:rsidRPr="001E22FE" w:rsidRDefault="00E228EC" w:rsidP="00511F0C">
                  <w:pPr>
                    <w:jc w:val="both"/>
                    <w:rPr>
                      <w:color w:val="000000"/>
                      <w:sz w:val="16"/>
                      <w:szCs w:val="16"/>
                    </w:rPr>
                  </w:pPr>
                  <w:r w:rsidRPr="001E22FE">
                    <w:rPr>
                      <w:bCs/>
                      <w:color w:val="000000"/>
                      <w:sz w:val="16"/>
                      <w:szCs w:val="16"/>
                    </w:rPr>
                    <w:t>Госпошлина</w:t>
                  </w:r>
                </w:p>
              </w:tc>
              <w:tc>
                <w:tcPr>
                  <w:tcW w:w="1170" w:type="dxa"/>
                  <w:shd w:val="clear" w:color="auto" w:fill="auto"/>
                  <w:vAlign w:val="center"/>
                  <w:hideMark/>
                </w:tcPr>
                <w:p w14:paraId="770ED191" w14:textId="77777777" w:rsidR="00E228EC" w:rsidRPr="001E22FE" w:rsidRDefault="00E228EC" w:rsidP="00511F0C">
                  <w:pPr>
                    <w:jc w:val="right"/>
                    <w:rPr>
                      <w:color w:val="000000"/>
                      <w:sz w:val="16"/>
                      <w:szCs w:val="16"/>
                    </w:rPr>
                  </w:pPr>
                  <w:r w:rsidRPr="001E22FE">
                    <w:rPr>
                      <w:color w:val="000000"/>
                      <w:sz w:val="16"/>
                      <w:szCs w:val="16"/>
                    </w:rPr>
                    <w:t>0</w:t>
                  </w:r>
                </w:p>
              </w:tc>
              <w:tc>
                <w:tcPr>
                  <w:tcW w:w="1170" w:type="dxa"/>
                  <w:shd w:val="clear" w:color="auto" w:fill="auto"/>
                  <w:vAlign w:val="center"/>
                  <w:hideMark/>
                </w:tcPr>
                <w:p w14:paraId="0E8AA3D6" w14:textId="77777777" w:rsidR="00E228EC" w:rsidRPr="001E22FE" w:rsidRDefault="00E228EC" w:rsidP="00511F0C">
                  <w:pPr>
                    <w:jc w:val="right"/>
                    <w:rPr>
                      <w:color w:val="000000"/>
                      <w:sz w:val="16"/>
                      <w:szCs w:val="16"/>
                    </w:rPr>
                  </w:pPr>
                  <w:r w:rsidRPr="001E22FE">
                    <w:rPr>
                      <w:color w:val="000000"/>
                      <w:sz w:val="16"/>
                      <w:szCs w:val="16"/>
                    </w:rPr>
                    <w:t>6 000,00</w:t>
                  </w:r>
                </w:p>
              </w:tc>
              <w:tc>
                <w:tcPr>
                  <w:tcW w:w="1170" w:type="dxa"/>
                  <w:shd w:val="clear" w:color="auto" w:fill="auto"/>
                  <w:vAlign w:val="center"/>
                  <w:hideMark/>
                </w:tcPr>
                <w:p w14:paraId="77BBFB77" w14:textId="77777777" w:rsidR="00E228EC" w:rsidRPr="001E22FE" w:rsidRDefault="00E228EC" w:rsidP="00511F0C">
                  <w:pPr>
                    <w:jc w:val="right"/>
                    <w:rPr>
                      <w:color w:val="000000"/>
                      <w:sz w:val="16"/>
                      <w:szCs w:val="16"/>
                    </w:rPr>
                  </w:pPr>
                  <w:r w:rsidRPr="001E22FE">
                    <w:rPr>
                      <w:color w:val="000000"/>
                      <w:sz w:val="16"/>
                      <w:szCs w:val="16"/>
                    </w:rPr>
                    <w:t>0</w:t>
                  </w:r>
                </w:p>
              </w:tc>
            </w:tr>
            <w:tr w:rsidR="00E228EC" w:rsidRPr="001E22FE" w14:paraId="32D5A49B" w14:textId="77777777" w:rsidTr="00511F0C">
              <w:trPr>
                <w:trHeight w:val="20"/>
              </w:trPr>
              <w:tc>
                <w:tcPr>
                  <w:tcW w:w="1170" w:type="dxa"/>
                  <w:shd w:val="clear" w:color="auto" w:fill="auto"/>
                  <w:vAlign w:val="center"/>
                  <w:hideMark/>
                </w:tcPr>
                <w:p w14:paraId="18AAC9F0" w14:textId="77777777" w:rsidR="00E228EC" w:rsidRPr="001E22FE" w:rsidRDefault="00E228EC" w:rsidP="00511F0C">
                  <w:pPr>
                    <w:jc w:val="both"/>
                    <w:rPr>
                      <w:color w:val="000000"/>
                      <w:sz w:val="16"/>
                      <w:szCs w:val="16"/>
                    </w:rPr>
                  </w:pPr>
                  <w:r w:rsidRPr="001E22FE">
                    <w:rPr>
                      <w:bCs/>
                      <w:color w:val="000000"/>
                      <w:sz w:val="16"/>
                      <w:szCs w:val="16"/>
                    </w:rPr>
                    <w:t>Итого</w:t>
                  </w:r>
                </w:p>
              </w:tc>
              <w:tc>
                <w:tcPr>
                  <w:tcW w:w="1170" w:type="dxa"/>
                  <w:shd w:val="clear" w:color="auto" w:fill="auto"/>
                  <w:vAlign w:val="center"/>
                  <w:hideMark/>
                </w:tcPr>
                <w:p w14:paraId="6B11C6AB" w14:textId="77777777" w:rsidR="00E228EC" w:rsidRPr="001E22FE" w:rsidRDefault="00E228EC" w:rsidP="00511F0C">
                  <w:pPr>
                    <w:jc w:val="right"/>
                    <w:rPr>
                      <w:color w:val="000000"/>
                      <w:sz w:val="16"/>
                      <w:szCs w:val="16"/>
                    </w:rPr>
                  </w:pPr>
                  <w:r w:rsidRPr="001E22FE">
                    <w:rPr>
                      <w:color w:val="000000"/>
                      <w:sz w:val="16"/>
                      <w:szCs w:val="16"/>
                    </w:rPr>
                    <w:t>32 769 784,65</w:t>
                  </w:r>
                </w:p>
              </w:tc>
              <w:tc>
                <w:tcPr>
                  <w:tcW w:w="1170" w:type="dxa"/>
                  <w:shd w:val="clear" w:color="auto" w:fill="auto"/>
                  <w:vAlign w:val="center"/>
                  <w:hideMark/>
                </w:tcPr>
                <w:p w14:paraId="23FF6DBB" w14:textId="77777777" w:rsidR="00E228EC" w:rsidRPr="001E22FE" w:rsidRDefault="00E228EC" w:rsidP="00511F0C">
                  <w:pPr>
                    <w:jc w:val="right"/>
                    <w:rPr>
                      <w:color w:val="000000"/>
                      <w:sz w:val="16"/>
                      <w:szCs w:val="16"/>
                    </w:rPr>
                  </w:pPr>
                  <w:r w:rsidRPr="001E22FE">
                    <w:rPr>
                      <w:color w:val="000000"/>
                      <w:sz w:val="16"/>
                      <w:szCs w:val="16"/>
                    </w:rPr>
                    <w:t>32 775 784,65</w:t>
                  </w:r>
                </w:p>
              </w:tc>
              <w:tc>
                <w:tcPr>
                  <w:tcW w:w="1170" w:type="dxa"/>
                  <w:shd w:val="clear" w:color="auto" w:fill="auto"/>
                  <w:vAlign w:val="center"/>
                  <w:hideMark/>
                </w:tcPr>
                <w:p w14:paraId="19217015" w14:textId="77777777" w:rsidR="00E228EC" w:rsidRPr="001E22FE" w:rsidRDefault="00E228EC" w:rsidP="00511F0C">
                  <w:pPr>
                    <w:jc w:val="right"/>
                    <w:rPr>
                      <w:color w:val="000000"/>
                      <w:sz w:val="16"/>
                      <w:szCs w:val="16"/>
                    </w:rPr>
                  </w:pPr>
                  <w:r w:rsidRPr="001E22FE">
                    <w:rPr>
                      <w:color w:val="000000"/>
                      <w:sz w:val="16"/>
                      <w:szCs w:val="16"/>
                    </w:rPr>
                    <w:t>13 356 439,89</w:t>
                  </w:r>
                </w:p>
              </w:tc>
            </w:tr>
          </w:tbl>
          <w:p w14:paraId="49189305" w14:textId="77777777" w:rsidR="00E228EC" w:rsidRDefault="00E228EC" w:rsidP="00E228EC">
            <w:pPr>
              <w:jc w:val="both"/>
              <w:rPr>
                <w:rFonts w:eastAsia="Calibri"/>
              </w:rPr>
            </w:pPr>
          </w:p>
          <w:p w14:paraId="6AF70B48" w14:textId="4ECCEFF2" w:rsidR="00B10D1B" w:rsidRPr="009A48C4" w:rsidRDefault="00E228EC" w:rsidP="00E228EC">
            <w:pPr>
              <w:tabs>
                <w:tab w:val="left" w:pos="214"/>
                <w:tab w:val="left" w:pos="1046"/>
                <w:tab w:val="left" w:pos="1213"/>
              </w:tabs>
              <w:jc w:val="both"/>
            </w:pPr>
            <w:proofErr w:type="gramStart"/>
            <w:r w:rsidRPr="00B054A7">
              <w:rPr>
                <w:bCs/>
                <w:sz w:val="18"/>
                <w:szCs w:val="18"/>
              </w:rPr>
              <w:t xml:space="preserve">Итоговый размер уступаемых прав (требований) с указанием общей суммы задолженности по основному долгу, </w:t>
            </w:r>
            <w:r w:rsidRPr="00CA1B93">
              <w:rPr>
                <w:bCs/>
                <w:sz w:val="18"/>
                <w:szCs w:val="18"/>
              </w:rPr>
              <w:t xml:space="preserve">начисленных процентов за пользование кредитом, комиссий, неустоек (штрафов, пеней), судебных и прочих расходов, определяется Филиалом </w:t>
            </w:r>
            <w:r w:rsidRPr="00CA1B93">
              <w:rPr>
                <w:sz w:val="18"/>
                <w:szCs w:val="18"/>
              </w:rPr>
              <w:t>в размере суммы фактических обязательств на дату согласования документации о торгах (аукционе), дату заключения Договора и уточняется на Дату перехода прав (требований) по Договору к Новому кредитору путем заключения дополнительного соглашения к</w:t>
            </w:r>
            <w:proofErr w:type="gramEnd"/>
            <w:r w:rsidRPr="00CA1B93">
              <w:rPr>
                <w:sz w:val="18"/>
                <w:szCs w:val="18"/>
              </w:rPr>
              <w:t xml:space="preserve"> Договору</w:t>
            </w:r>
          </w:p>
        </w:tc>
        <w:tc>
          <w:tcPr>
            <w:tcW w:w="1560" w:type="dxa"/>
            <w:tcBorders>
              <w:top w:val="single" w:sz="4" w:space="0" w:color="auto"/>
              <w:left w:val="single" w:sz="4" w:space="0" w:color="auto"/>
              <w:bottom w:val="single" w:sz="4" w:space="0" w:color="auto"/>
              <w:right w:val="single" w:sz="4" w:space="0" w:color="auto"/>
            </w:tcBorders>
          </w:tcPr>
          <w:p w14:paraId="09F7D80B" w14:textId="53D9D491" w:rsidR="00B10D1B" w:rsidRPr="009A48C4" w:rsidRDefault="00E228EC" w:rsidP="00575FB5">
            <w:pPr>
              <w:widowControl w:val="0"/>
              <w:ind w:right="-64"/>
            </w:pPr>
            <w:r w:rsidRPr="00495302">
              <w:t xml:space="preserve">38 419 039,46 </w:t>
            </w:r>
            <w:r w:rsidRPr="00B054A7">
              <w:rPr>
                <w:sz w:val="18"/>
                <w:szCs w:val="18"/>
              </w:rPr>
              <w:t>(Тридцать восемь миллионов четыреста девятнадцать тысяч тридцать девять рублей 46 копеек) рублей</w:t>
            </w:r>
          </w:p>
        </w:tc>
        <w:tc>
          <w:tcPr>
            <w:tcW w:w="1774" w:type="dxa"/>
            <w:tcBorders>
              <w:top w:val="single" w:sz="4" w:space="0" w:color="auto"/>
              <w:left w:val="single" w:sz="4" w:space="0" w:color="auto"/>
              <w:bottom w:val="single" w:sz="4" w:space="0" w:color="auto"/>
              <w:right w:val="single" w:sz="4" w:space="0" w:color="auto"/>
            </w:tcBorders>
          </w:tcPr>
          <w:p w14:paraId="63A2CC89" w14:textId="7AE45498" w:rsidR="00B10D1B" w:rsidRPr="009A48C4" w:rsidRDefault="009A48C4" w:rsidP="009A48C4">
            <w:pPr>
              <w:widowControl w:val="0"/>
            </w:pPr>
            <w:r w:rsidRPr="009A48C4">
              <w:t>Указаны  в п.1 приложения №1  к Торговой документации</w:t>
            </w:r>
            <w:r w:rsidR="00477AE3" w:rsidRPr="009A48C4">
              <w:t>.</w:t>
            </w:r>
          </w:p>
        </w:tc>
        <w:tc>
          <w:tcPr>
            <w:tcW w:w="1467" w:type="dxa"/>
            <w:tcBorders>
              <w:top w:val="single" w:sz="4" w:space="0" w:color="auto"/>
              <w:left w:val="single" w:sz="4" w:space="0" w:color="auto"/>
              <w:bottom w:val="single" w:sz="4" w:space="0" w:color="auto"/>
              <w:right w:val="single" w:sz="4" w:space="0" w:color="auto"/>
            </w:tcBorders>
          </w:tcPr>
          <w:p w14:paraId="6970818E" w14:textId="7394EF92" w:rsidR="00B10D1B" w:rsidRPr="009A48C4" w:rsidRDefault="00575FB5" w:rsidP="006324E0">
            <w:pPr>
              <w:tabs>
                <w:tab w:val="left" w:pos="405"/>
                <w:tab w:val="left" w:pos="870"/>
              </w:tabs>
            </w:pPr>
            <w:r w:rsidRPr="009A48C4">
              <w:t>Отсутствуют</w:t>
            </w:r>
            <w:r w:rsidR="006324E0" w:rsidRPr="009A48C4">
              <w:tab/>
            </w:r>
          </w:p>
        </w:tc>
      </w:tr>
    </w:tbl>
    <w:p w14:paraId="4EB3AA26" w14:textId="7A0A844A" w:rsidR="00C51739" w:rsidRDefault="002B6080" w:rsidP="006C1CFA">
      <w:pPr>
        <w:ind w:left="-284"/>
        <w:jc w:val="both"/>
        <w:rPr>
          <w:sz w:val="24"/>
          <w:szCs w:val="24"/>
        </w:rPr>
      </w:pPr>
      <w:r w:rsidRPr="00E90195">
        <w:rPr>
          <w:sz w:val="24"/>
          <w:szCs w:val="24"/>
        </w:rPr>
        <w:tab/>
      </w:r>
      <w:r w:rsidR="006C1CFA" w:rsidRPr="006C1CFA">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proofErr w:type="spellStart"/>
      <w:r w:rsidR="00E228EC" w:rsidRPr="00E228EC">
        <w:rPr>
          <w:sz w:val="24"/>
          <w:szCs w:val="24"/>
        </w:rPr>
        <w:t>Евсейченко</w:t>
      </w:r>
      <w:proofErr w:type="spellEnd"/>
      <w:r w:rsidR="00E228EC" w:rsidRPr="00E228EC">
        <w:rPr>
          <w:sz w:val="24"/>
          <w:szCs w:val="24"/>
        </w:rPr>
        <w:t xml:space="preserve"> Тимофей Александрович, </w:t>
      </w:r>
      <w:proofErr w:type="spellStart"/>
      <w:r w:rsidR="00E228EC" w:rsidRPr="00E228EC">
        <w:rPr>
          <w:sz w:val="24"/>
          <w:szCs w:val="24"/>
        </w:rPr>
        <w:t>и.о</w:t>
      </w:r>
      <w:proofErr w:type="spellEnd"/>
      <w:r w:rsidR="00E228EC" w:rsidRPr="00E228EC">
        <w:rPr>
          <w:sz w:val="24"/>
          <w:szCs w:val="24"/>
        </w:rPr>
        <w:t>. начальника службы по работе с проблемными активами Сахалинского РФ АО «</w:t>
      </w:r>
      <w:proofErr w:type="spellStart"/>
      <w:r w:rsidR="00E228EC" w:rsidRPr="00E228EC">
        <w:rPr>
          <w:sz w:val="24"/>
          <w:szCs w:val="24"/>
        </w:rPr>
        <w:t>Россельхозбанк</w:t>
      </w:r>
      <w:proofErr w:type="spellEnd"/>
      <w:r w:rsidR="00E228EC" w:rsidRPr="00E228EC">
        <w:rPr>
          <w:sz w:val="24"/>
          <w:szCs w:val="24"/>
        </w:rPr>
        <w:t xml:space="preserve">», контактный номер телефона: +7 (4112) 40 – 21 – 41 (доб. 1173), электронная почта: </w:t>
      </w:r>
      <w:hyperlink r:id="rId10" w:history="1">
        <w:r w:rsidR="00E228EC" w:rsidRPr="00EF5666">
          <w:rPr>
            <w:rStyle w:val="ac"/>
            <w:sz w:val="24"/>
            <w:szCs w:val="24"/>
          </w:rPr>
          <w:t>EvseychenkoTA@yakutia.rshb.ru</w:t>
        </w:r>
      </w:hyperlink>
      <w:r w:rsidR="00E228EC" w:rsidRPr="00E228EC">
        <w:rPr>
          <w:sz w:val="24"/>
          <w:szCs w:val="24"/>
        </w:rPr>
        <w:t>.</w:t>
      </w:r>
    </w:p>
    <w:p w14:paraId="3581FDBE" w14:textId="77777777" w:rsidR="00E228EC" w:rsidRPr="00E90195" w:rsidRDefault="00E228EC" w:rsidP="006C1CFA">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33EA30C"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9A48C4">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E637D35"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A48C4">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9A48C4">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proofErr w:type="gramStart"/>
      <w:r w:rsidRPr="00394896">
        <w:rPr>
          <w:sz w:val="24"/>
          <w:szCs w:val="24"/>
        </w:rPr>
        <w:t>п</w:t>
      </w:r>
      <w:proofErr w:type="gramEnd"/>
      <w:r w:rsidRPr="00394896">
        <w:rPr>
          <w:sz w:val="24"/>
          <w:szCs w:val="24"/>
        </w:rPr>
        <w:t xml:space="preserve">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3D77367"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sidR="00477AE3">
        <w:rPr>
          <w:sz w:val="24"/>
          <w:szCs w:val="24"/>
        </w:rPr>
        <w:t>500 000</w:t>
      </w:r>
      <w:r w:rsidR="00B167C6" w:rsidRPr="00B167C6">
        <w:rPr>
          <w:sz w:val="24"/>
          <w:szCs w:val="24"/>
        </w:rPr>
        <w:t xml:space="preserve"> (</w:t>
      </w:r>
      <w:r w:rsidR="00477AE3">
        <w:rPr>
          <w:sz w:val="24"/>
          <w:szCs w:val="24"/>
        </w:rPr>
        <w:t>Пятьсот тысяч</w:t>
      </w:r>
      <w:r w:rsidR="00B167C6" w:rsidRPr="00B167C6">
        <w:rPr>
          <w:sz w:val="24"/>
          <w:szCs w:val="24"/>
        </w:rPr>
        <w:t>) рублей</w:t>
      </w:r>
      <w:r w:rsidR="00B167C6">
        <w:rPr>
          <w:sz w:val="24"/>
          <w:szCs w:val="24"/>
        </w:rPr>
        <w:t xml:space="preserve"> 00</w:t>
      </w:r>
      <w:r w:rsidR="00C51739">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Default="00BA5672" w:rsidP="00BA567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68A3625E" w14:textId="77777777" w:rsidR="006861A8" w:rsidRDefault="006861A8" w:rsidP="003D41DE">
      <w:pPr>
        <w:tabs>
          <w:tab w:val="left" w:pos="1217"/>
        </w:tabs>
        <w:spacing w:line="264" w:lineRule="auto"/>
        <w:ind w:right="23"/>
        <w:jc w:val="both"/>
        <w:rPr>
          <w:sz w:val="24"/>
          <w:szCs w:val="24"/>
        </w:rPr>
      </w:pPr>
    </w:p>
    <w:p w14:paraId="1848306F" w14:textId="77777777" w:rsidR="006C1CFA" w:rsidRDefault="006C1CFA" w:rsidP="003D41DE">
      <w:pPr>
        <w:tabs>
          <w:tab w:val="left" w:pos="1217"/>
        </w:tabs>
        <w:spacing w:line="264" w:lineRule="auto"/>
        <w:ind w:right="23"/>
        <w:jc w:val="both"/>
        <w:rPr>
          <w:sz w:val="24"/>
          <w:szCs w:val="24"/>
        </w:rPr>
      </w:pP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323"/>
      </w:tblGrid>
      <w:tr w:rsidR="00E228EC" w:rsidRPr="006A238A" w14:paraId="7B823A6E" w14:textId="77777777" w:rsidTr="00511F0C">
        <w:trPr>
          <w:trHeight w:val="64"/>
        </w:trPr>
        <w:tc>
          <w:tcPr>
            <w:tcW w:w="9214" w:type="dxa"/>
            <w:gridSpan w:val="2"/>
            <w:shd w:val="clear" w:color="auto" w:fill="auto"/>
          </w:tcPr>
          <w:p w14:paraId="54D7F296" w14:textId="77777777" w:rsidR="00E228EC" w:rsidRPr="004311B4" w:rsidRDefault="00E228EC" w:rsidP="00511F0C">
            <w:pPr>
              <w:jc w:val="both"/>
              <w:rPr>
                <w:rFonts w:eastAsia="Calibri"/>
                <w:b/>
              </w:rPr>
            </w:pPr>
            <w:r w:rsidRPr="004311B4">
              <w:rPr>
                <w:rFonts w:eastAsia="Calibri"/>
                <w:b/>
              </w:rPr>
              <w:t>Торговая процедура в форме аукциона «на повышение» в электронном виде</w:t>
            </w:r>
          </w:p>
        </w:tc>
      </w:tr>
      <w:tr w:rsidR="00E228EC" w:rsidRPr="006A238A" w14:paraId="424D3338" w14:textId="77777777" w:rsidTr="00511F0C">
        <w:tc>
          <w:tcPr>
            <w:tcW w:w="2891" w:type="dxa"/>
            <w:shd w:val="clear" w:color="auto" w:fill="auto"/>
          </w:tcPr>
          <w:p w14:paraId="4E089B46" w14:textId="77777777" w:rsidR="00E228EC" w:rsidRPr="006A238A" w:rsidRDefault="00E228EC" w:rsidP="00511F0C">
            <w:pPr>
              <w:rPr>
                <w:rFonts w:eastAsia="Calibri"/>
                <w:highlight w:val="yellow"/>
              </w:rPr>
            </w:pPr>
            <w:r w:rsidRPr="004311B4">
              <w:rPr>
                <w:rFonts w:eastAsia="Calibri"/>
              </w:rPr>
              <w:t>Особенности проведения торговой процедуры в форме аукциона «на повышение»</w:t>
            </w:r>
          </w:p>
        </w:tc>
        <w:tc>
          <w:tcPr>
            <w:tcW w:w="6323" w:type="dxa"/>
            <w:tcBorders>
              <w:top w:val="single" w:sz="4" w:space="0" w:color="auto"/>
              <w:left w:val="single" w:sz="4" w:space="0" w:color="auto"/>
              <w:bottom w:val="single" w:sz="4" w:space="0" w:color="auto"/>
              <w:right w:val="single" w:sz="4" w:space="0" w:color="auto"/>
            </w:tcBorders>
          </w:tcPr>
          <w:p w14:paraId="3B39BC73" w14:textId="77777777" w:rsidR="00E228EC" w:rsidRPr="004311B4" w:rsidRDefault="00E228EC" w:rsidP="00511F0C">
            <w:pPr>
              <w:autoSpaceDE w:val="0"/>
              <w:autoSpaceDN w:val="0"/>
              <w:adjustRightInd w:val="0"/>
              <w:jc w:val="both"/>
              <w:rPr>
                <w:lang w:eastAsia="en-US"/>
              </w:rPr>
            </w:pPr>
            <w:r w:rsidRPr="004311B4">
              <w:rPr>
                <w:rFonts w:eastAsia="Calibri"/>
                <w:lang w:eastAsia="en-US"/>
              </w:rPr>
              <w:t xml:space="preserve">Торговая процедура в форме аукциона «на повышение» проводится </w:t>
            </w:r>
            <w:r w:rsidRPr="004311B4">
              <w:rPr>
                <w:lang w:eastAsia="en-US"/>
              </w:rPr>
              <w:t>путем последовательного повышения участниками аукциона начальной цены продажи на величину, равную либо кратную величине «шага аукциона».</w:t>
            </w:r>
            <w:r w:rsidRPr="004311B4" w:rsidDel="00416472">
              <w:rPr>
                <w:lang w:eastAsia="en-US"/>
              </w:rPr>
              <w:t xml:space="preserve"> </w:t>
            </w:r>
          </w:p>
          <w:p w14:paraId="30FF5076"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xml:space="preserve">Торговая процедура в форме аукциона «на повышение» проводится в дату и время, </w:t>
            </w:r>
            <w:proofErr w:type="gramStart"/>
            <w:r w:rsidRPr="004311B4">
              <w:rPr>
                <w:rFonts w:eastAsia="Calibri"/>
                <w:lang w:eastAsia="en-US"/>
              </w:rPr>
              <w:t>указанные</w:t>
            </w:r>
            <w:proofErr w:type="gramEnd"/>
            <w:r w:rsidRPr="004311B4">
              <w:rPr>
                <w:rFonts w:eastAsia="Calibri"/>
                <w:lang w:eastAsia="en-US"/>
              </w:rPr>
              <w:t xml:space="preserve"> в Извещении. </w:t>
            </w:r>
          </w:p>
          <w:p w14:paraId="4DBE79AF"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xml:space="preserve">Проведение Торговой процедуры в форме аукциона «на повышение» состоит из следующих частей: </w:t>
            </w:r>
          </w:p>
          <w:p w14:paraId="1F4F1EF8"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размещение Извещения о проведении Торговой процедуры в форме аукциона «на повышение» и Торговой документации;</w:t>
            </w:r>
          </w:p>
          <w:p w14:paraId="3963D541"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прием Заявок на участие в Торговой процедуре;</w:t>
            </w:r>
          </w:p>
          <w:p w14:paraId="45F8EB31"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xml:space="preserve">- прием обеспечения Заявки на участие в Торговой процедуре в форме аукциона «на повышение» от </w:t>
            </w:r>
            <w:r>
              <w:rPr>
                <w:rFonts w:eastAsia="Calibri"/>
                <w:lang w:eastAsia="en-US"/>
              </w:rPr>
              <w:t>Заявителей</w:t>
            </w:r>
            <w:r w:rsidRPr="004311B4">
              <w:rPr>
                <w:rFonts w:eastAsia="Calibri"/>
                <w:lang w:eastAsia="en-US"/>
              </w:rPr>
              <w:t>;</w:t>
            </w:r>
          </w:p>
          <w:p w14:paraId="796382B3"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xml:space="preserve">- рассмотрение </w:t>
            </w:r>
            <w:r>
              <w:rPr>
                <w:rFonts w:eastAsia="Calibri"/>
                <w:lang w:eastAsia="en-US"/>
              </w:rPr>
              <w:t>з</w:t>
            </w:r>
            <w:r w:rsidRPr="004311B4">
              <w:rPr>
                <w:rFonts w:eastAsia="Calibri"/>
                <w:lang w:eastAsia="en-US"/>
              </w:rPr>
              <w:t>аявок, определение состава Претендентов на участие в Торговой процедуре в форме аукциона «на повышение»;</w:t>
            </w:r>
          </w:p>
          <w:p w14:paraId="799A0D4D"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подведение итогов Торговой процедуры в форме аукциона «на повышение»</w:t>
            </w:r>
            <w:r>
              <w:rPr>
                <w:rFonts w:eastAsia="Calibri"/>
                <w:lang w:eastAsia="en-US"/>
              </w:rPr>
              <w:t xml:space="preserve">, </w:t>
            </w:r>
            <w:r w:rsidRPr="004311B4">
              <w:rPr>
                <w:rFonts w:eastAsia="Calibri"/>
                <w:lang w:eastAsia="en-US"/>
              </w:rPr>
              <w:t>размещение протокола об итогах аукциона «на повышение»;</w:t>
            </w:r>
          </w:p>
          <w:p w14:paraId="25FD41FA"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xml:space="preserve">- возврат обеспечения </w:t>
            </w:r>
            <w:r>
              <w:rPr>
                <w:rFonts w:eastAsia="Calibri"/>
                <w:lang w:eastAsia="en-US"/>
              </w:rPr>
              <w:t>з</w:t>
            </w:r>
            <w:r w:rsidRPr="004311B4">
              <w:rPr>
                <w:rFonts w:eastAsia="Calibri"/>
                <w:lang w:eastAsia="en-US"/>
              </w:rPr>
              <w:t xml:space="preserve">аявки на участие в Торговой процедуре </w:t>
            </w:r>
            <w:r>
              <w:rPr>
                <w:rFonts w:eastAsia="Calibri"/>
                <w:lang w:eastAsia="en-US"/>
              </w:rPr>
              <w:t>проигравшим Претендентам</w:t>
            </w:r>
            <w:r w:rsidRPr="004311B4">
              <w:rPr>
                <w:rFonts w:eastAsia="Calibri"/>
                <w:lang w:eastAsia="en-US"/>
              </w:rPr>
              <w:t>;</w:t>
            </w:r>
          </w:p>
          <w:p w14:paraId="7FD8E929"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3F75C5D4" w14:textId="77777777" w:rsidR="00E228EC" w:rsidRPr="004311B4" w:rsidRDefault="00E228EC" w:rsidP="00511F0C">
            <w:pPr>
              <w:autoSpaceDE w:val="0"/>
              <w:autoSpaceDN w:val="0"/>
              <w:adjustRightInd w:val="0"/>
              <w:jc w:val="both"/>
              <w:rPr>
                <w:rFonts w:eastAsia="Calibri"/>
                <w:lang w:eastAsia="en-US"/>
              </w:rPr>
            </w:pPr>
            <w:r w:rsidRPr="004311B4">
              <w:rPr>
                <w:rFonts w:eastAsia="Calibri"/>
                <w:lang w:eastAsia="en-US"/>
              </w:rPr>
              <w:t>- иные мероприятия, предусмотренные настоящим Договором и законодательством Российской Федерации.</w:t>
            </w:r>
          </w:p>
          <w:p w14:paraId="24331A47" w14:textId="77777777" w:rsidR="00E228EC" w:rsidRPr="004311B4" w:rsidRDefault="00E228EC" w:rsidP="00511F0C">
            <w:pPr>
              <w:autoSpaceDE w:val="0"/>
              <w:autoSpaceDN w:val="0"/>
              <w:adjustRightInd w:val="0"/>
              <w:jc w:val="both"/>
              <w:rPr>
                <w:lang w:eastAsia="en-US"/>
              </w:rPr>
            </w:pPr>
            <w:r w:rsidRPr="004311B4">
              <w:rPr>
                <w:lang w:eastAsia="en-US"/>
              </w:rPr>
              <w:t>Аукцион «на повышение» признается несостоявшимся в следующих случаях:</w:t>
            </w:r>
          </w:p>
          <w:p w14:paraId="5783DB7A" w14:textId="77777777" w:rsidR="00E228EC" w:rsidRPr="004311B4" w:rsidRDefault="00E228EC" w:rsidP="00511F0C">
            <w:pPr>
              <w:tabs>
                <w:tab w:val="left" w:pos="1134"/>
              </w:tabs>
              <w:autoSpaceDE w:val="0"/>
              <w:autoSpaceDN w:val="0"/>
              <w:adjustRightInd w:val="0"/>
              <w:jc w:val="both"/>
              <w:rPr>
                <w:lang w:eastAsia="en-US"/>
              </w:rPr>
            </w:pPr>
            <w:r w:rsidRPr="004311B4">
              <w:rPr>
                <w:lang w:eastAsia="en-US"/>
              </w:rPr>
              <w:t xml:space="preserve">- не было подано ни одной заявки на участие либо ни один из </w:t>
            </w:r>
            <w:r>
              <w:rPr>
                <w:lang w:eastAsia="en-US"/>
              </w:rPr>
              <w:t>Заявителей</w:t>
            </w:r>
            <w:r w:rsidRPr="004311B4">
              <w:rPr>
                <w:lang w:eastAsia="en-US"/>
              </w:rPr>
              <w:t xml:space="preserve"> не признан участником аукциона;</w:t>
            </w:r>
          </w:p>
          <w:p w14:paraId="7887AE4F" w14:textId="77777777" w:rsidR="00E228EC" w:rsidRPr="004311B4" w:rsidRDefault="00E228EC" w:rsidP="00511F0C">
            <w:pPr>
              <w:tabs>
                <w:tab w:val="left" w:pos="1134"/>
              </w:tabs>
              <w:autoSpaceDE w:val="0"/>
              <w:autoSpaceDN w:val="0"/>
              <w:adjustRightInd w:val="0"/>
              <w:jc w:val="both"/>
              <w:rPr>
                <w:lang w:eastAsia="en-US"/>
              </w:rPr>
            </w:pPr>
            <w:r w:rsidRPr="004311B4">
              <w:rPr>
                <w:lang w:eastAsia="en-US"/>
              </w:rPr>
              <w:t xml:space="preserve">- принято решение о признании только одного </w:t>
            </w:r>
            <w:r>
              <w:rPr>
                <w:lang w:eastAsia="en-US"/>
              </w:rPr>
              <w:t xml:space="preserve">Заявителя </w:t>
            </w:r>
            <w:r w:rsidRPr="004311B4">
              <w:rPr>
                <w:lang w:eastAsia="en-US"/>
              </w:rPr>
              <w:t>участником аукциона;</w:t>
            </w:r>
          </w:p>
          <w:p w14:paraId="0837087C" w14:textId="77777777" w:rsidR="00E228EC" w:rsidRPr="004311B4" w:rsidRDefault="00E228EC" w:rsidP="00511F0C">
            <w:pPr>
              <w:tabs>
                <w:tab w:val="left" w:pos="1134"/>
              </w:tabs>
              <w:autoSpaceDE w:val="0"/>
              <w:autoSpaceDN w:val="0"/>
              <w:adjustRightInd w:val="0"/>
              <w:jc w:val="both"/>
              <w:rPr>
                <w:lang w:eastAsia="en-US"/>
              </w:rPr>
            </w:pPr>
            <w:r w:rsidRPr="004311B4">
              <w:rPr>
                <w:lang w:eastAsia="en-US"/>
              </w:rPr>
              <w:t>- ни один из Претендентов не сделал предложение о приобретении объекта по начальной цене продажи.</w:t>
            </w:r>
          </w:p>
        </w:tc>
      </w:tr>
      <w:tr w:rsidR="00E228EC" w:rsidRPr="006A238A" w14:paraId="2CC52585" w14:textId="77777777" w:rsidTr="00511F0C">
        <w:trPr>
          <w:trHeight w:val="445"/>
        </w:trPr>
        <w:tc>
          <w:tcPr>
            <w:tcW w:w="2891" w:type="dxa"/>
            <w:shd w:val="clear" w:color="auto" w:fill="auto"/>
          </w:tcPr>
          <w:p w14:paraId="26B2D1B3" w14:textId="77777777" w:rsidR="00E228EC" w:rsidRPr="004311B4" w:rsidRDefault="00E228EC" w:rsidP="00511F0C">
            <w:pPr>
              <w:rPr>
                <w:rFonts w:eastAsia="Calibri"/>
              </w:rPr>
            </w:pPr>
            <w:r w:rsidRPr="004311B4">
              <w:rPr>
                <w:rFonts w:eastAsia="Calibri"/>
              </w:rPr>
              <w:t>Срок опубликования извещения о проведении торговой процедуры в форме аукциона «на повышение»</w:t>
            </w:r>
          </w:p>
        </w:tc>
        <w:tc>
          <w:tcPr>
            <w:tcW w:w="6323" w:type="dxa"/>
            <w:shd w:val="clear" w:color="auto" w:fill="auto"/>
          </w:tcPr>
          <w:p w14:paraId="35237826" w14:textId="77777777" w:rsidR="00E228EC" w:rsidRPr="004311B4" w:rsidRDefault="00E228EC" w:rsidP="00511F0C">
            <w:pPr>
              <w:jc w:val="both"/>
              <w:rPr>
                <w:rFonts w:eastAsia="Calibri"/>
                <w:b/>
              </w:rPr>
            </w:pPr>
            <w:r w:rsidRPr="004311B4">
              <w:rPr>
                <w:rFonts w:eastAsia="Calibri"/>
              </w:rPr>
              <w:t xml:space="preserve">Не менее чем за 30 </w:t>
            </w:r>
            <w:r>
              <w:rPr>
                <w:rFonts w:eastAsia="Calibri"/>
              </w:rPr>
              <w:t>(тридцать) календарных</w:t>
            </w:r>
            <w:r w:rsidRPr="004311B4">
              <w:rPr>
                <w:rFonts w:eastAsia="Calibri"/>
              </w:rPr>
              <w:t xml:space="preserve"> дней </w:t>
            </w:r>
            <w:r>
              <w:rPr>
                <w:rFonts w:eastAsia="Calibri"/>
              </w:rPr>
              <w:t>до объявленной даты проведения Т</w:t>
            </w:r>
            <w:r w:rsidRPr="004311B4">
              <w:rPr>
                <w:rFonts w:eastAsia="Calibri"/>
              </w:rPr>
              <w:t>орговой процедуры в форме аукциона «на повышение».</w:t>
            </w:r>
          </w:p>
        </w:tc>
      </w:tr>
      <w:tr w:rsidR="00E228EC" w:rsidRPr="006A238A" w14:paraId="2952AAE5" w14:textId="77777777" w:rsidTr="00511F0C">
        <w:trPr>
          <w:trHeight w:val="92"/>
        </w:trPr>
        <w:tc>
          <w:tcPr>
            <w:tcW w:w="2891" w:type="dxa"/>
            <w:shd w:val="clear" w:color="auto" w:fill="auto"/>
          </w:tcPr>
          <w:p w14:paraId="223D1F62" w14:textId="77777777" w:rsidR="00E228EC" w:rsidRPr="004311B4" w:rsidRDefault="00E228EC" w:rsidP="00511F0C">
            <w:pPr>
              <w:rPr>
                <w:rFonts w:eastAsia="Calibri"/>
              </w:rPr>
            </w:pPr>
            <w:r w:rsidRPr="004311B4">
              <w:rPr>
                <w:rFonts w:eastAsia="Calibri"/>
              </w:rPr>
              <w:t>Срок начала принятия Заявок на участие в торговой процедуре в форме аукциона «на повышение»</w:t>
            </w:r>
          </w:p>
        </w:tc>
        <w:tc>
          <w:tcPr>
            <w:tcW w:w="6323" w:type="dxa"/>
            <w:shd w:val="clear" w:color="auto" w:fill="auto"/>
          </w:tcPr>
          <w:p w14:paraId="1DE9B1B2" w14:textId="77777777" w:rsidR="00E228EC" w:rsidRPr="004311B4" w:rsidRDefault="00E228EC" w:rsidP="00511F0C">
            <w:pPr>
              <w:jc w:val="both"/>
              <w:rPr>
                <w:rFonts w:eastAsia="Calibri"/>
              </w:rPr>
            </w:pPr>
            <w:r w:rsidRPr="006F7B2E">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E228EC" w:rsidRPr="006A238A" w14:paraId="3DC95739" w14:textId="77777777" w:rsidTr="00511F0C">
        <w:tc>
          <w:tcPr>
            <w:tcW w:w="2891" w:type="dxa"/>
            <w:shd w:val="clear" w:color="auto" w:fill="auto"/>
          </w:tcPr>
          <w:p w14:paraId="6372D3A1" w14:textId="77777777" w:rsidR="00E228EC" w:rsidRPr="004311B4" w:rsidRDefault="00E228EC" w:rsidP="00511F0C">
            <w:pPr>
              <w:rPr>
                <w:rFonts w:eastAsia="Calibri"/>
              </w:rPr>
            </w:pPr>
            <w:r w:rsidRPr="006F7B2E">
              <w:rPr>
                <w:rFonts w:eastAsia="Calibri"/>
              </w:rPr>
              <w:t>Срок приема заявок на</w:t>
            </w:r>
            <w:r>
              <w:rPr>
                <w:rFonts w:eastAsia="Calibri"/>
              </w:rPr>
              <w:t xml:space="preserve"> </w:t>
            </w:r>
            <w:r w:rsidRPr="006F7B2E">
              <w:rPr>
                <w:rFonts w:eastAsia="Calibri"/>
              </w:rPr>
              <w:t>участие в аукционе «на</w:t>
            </w:r>
            <w:r>
              <w:rPr>
                <w:rFonts w:eastAsia="Calibri"/>
              </w:rPr>
              <w:t xml:space="preserve"> </w:t>
            </w:r>
            <w:r w:rsidRPr="006F7B2E">
              <w:rPr>
                <w:rFonts w:eastAsia="Calibri"/>
              </w:rPr>
              <w:t>повышение»</w:t>
            </w:r>
          </w:p>
        </w:tc>
        <w:tc>
          <w:tcPr>
            <w:tcW w:w="6323" w:type="dxa"/>
            <w:shd w:val="clear" w:color="auto" w:fill="auto"/>
          </w:tcPr>
          <w:p w14:paraId="472DA96B" w14:textId="77777777" w:rsidR="00E228EC" w:rsidRPr="004311B4" w:rsidRDefault="00E228EC" w:rsidP="00511F0C">
            <w:pPr>
              <w:jc w:val="both"/>
              <w:rPr>
                <w:rFonts w:eastAsia="Calibri"/>
              </w:rPr>
            </w:pPr>
            <w:r w:rsidRPr="006F7B2E">
              <w:rPr>
                <w:rFonts w:eastAsia="Calibri"/>
              </w:rPr>
              <w:t>Общая продолжительность приема Заявок на участие в Торговых процедурах</w:t>
            </w:r>
            <w:r>
              <w:rPr>
                <w:rFonts w:eastAsia="Calibri"/>
              </w:rPr>
              <w:t xml:space="preserve"> </w:t>
            </w:r>
            <w:r w:rsidRPr="006F7B2E">
              <w:rPr>
                <w:rFonts w:eastAsia="Calibri"/>
              </w:rPr>
              <w:t>должна быть не менее 25 (двадцати пяти) календарных дней с даты, следующей</w:t>
            </w:r>
            <w:r>
              <w:rPr>
                <w:rFonts w:eastAsia="Calibri"/>
              </w:rPr>
              <w:t xml:space="preserve"> </w:t>
            </w:r>
            <w:r w:rsidRPr="006F7B2E">
              <w:rPr>
                <w:rFonts w:eastAsia="Calibri"/>
              </w:rPr>
              <w:t xml:space="preserve">за днем публикации извещения, и заканчиваться не </w:t>
            </w:r>
            <w:proofErr w:type="gramStart"/>
            <w:r w:rsidRPr="006F7B2E">
              <w:rPr>
                <w:rFonts w:eastAsia="Calibri"/>
              </w:rPr>
              <w:t>позднее</w:t>
            </w:r>
            <w:proofErr w:type="gramEnd"/>
            <w:r w:rsidRPr="006F7B2E">
              <w:rPr>
                <w:rFonts w:eastAsia="Calibri"/>
              </w:rPr>
              <w:t xml:space="preserve"> чем за 3 (три)</w:t>
            </w:r>
            <w:r>
              <w:rPr>
                <w:rFonts w:eastAsia="Calibri"/>
              </w:rPr>
              <w:t xml:space="preserve"> </w:t>
            </w:r>
            <w:r w:rsidRPr="006F7B2E">
              <w:rPr>
                <w:rFonts w:eastAsia="Calibri"/>
              </w:rPr>
              <w:t>рабочих дня до определения участников, если иное не предусмотрено Заданием</w:t>
            </w:r>
          </w:p>
        </w:tc>
      </w:tr>
      <w:tr w:rsidR="00E228EC" w:rsidRPr="006A238A" w14:paraId="0CED0C5A" w14:textId="77777777" w:rsidTr="00511F0C">
        <w:trPr>
          <w:trHeight w:val="416"/>
        </w:trPr>
        <w:tc>
          <w:tcPr>
            <w:tcW w:w="2891" w:type="dxa"/>
            <w:shd w:val="clear" w:color="auto" w:fill="auto"/>
          </w:tcPr>
          <w:p w14:paraId="7023E804" w14:textId="77777777" w:rsidR="00E228EC" w:rsidRPr="004311B4" w:rsidRDefault="00E228EC" w:rsidP="00511F0C">
            <w:pPr>
              <w:rPr>
                <w:rFonts w:eastAsia="Calibri"/>
              </w:rPr>
            </w:pPr>
            <w:r w:rsidRPr="004311B4">
              <w:rPr>
                <w:rFonts w:eastAsia="Calibri"/>
              </w:rPr>
              <w:t>Перечень документов, прилагаемых к Заявке на участие в торговой процедуре</w:t>
            </w:r>
          </w:p>
        </w:tc>
        <w:tc>
          <w:tcPr>
            <w:tcW w:w="6323" w:type="dxa"/>
            <w:shd w:val="clear" w:color="auto" w:fill="auto"/>
          </w:tcPr>
          <w:p w14:paraId="2C88D824" w14:textId="77777777" w:rsidR="00E228EC" w:rsidRPr="009F3C9D" w:rsidRDefault="00E228EC" w:rsidP="00511F0C">
            <w:pPr>
              <w:jc w:val="both"/>
              <w:rPr>
                <w:rFonts w:eastAsia="Calibri"/>
              </w:rPr>
            </w:pPr>
            <w:r w:rsidRPr="009F3C9D">
              <w:rPr>
                <w:rFonts w:eastAsia="Calibri"/>
              </w:rPr>
              <w:t>1. Общие:</w:t>
            </w:r>
          </w:p>
          <w:p w14:paraId="18D8AC21" w14:textId="77777777" w:rsidR="00E228EC" w:rsidRPr="009F3C9D" w:rsidRDefault="00E228EC" w:rsidP="00511F0C">
            <w:pPr>
              <w:jc w:val="both"/>
              <w:rPr>
                <w:rFonts w:eastAsia="Calibri"/>
              </w:rPr>
            </w:pPr>
            <w:r w:rsidRPr="009F3C9D">
              <w:rPr>
                <w:rFonts w:eastAsia="Calibri"/>
              </w:rPr>
              <w:t>1.1. Платежный документ, подтверждающий внесение обеспечения Заявки на участие в торговой процедуре с отметкой банка;</w:t>
            </w:r>
          </w:p>
          <w:p w14:paraId="4B5039AA" w14:textId="77777777" w:rsidR="00E228EC" w:rsidRPr="009F3C9D" w:rsidRDefault="00E228EC" w:rsidP="00511F0C">
            <w:pPr>
              <w:jc w:val="both"/>
              <w:rPr>
                <w:rFonts w:eastAsia="Calibri"/>
              </w:rPr>
            </w:pPr>
            <w:r w:rsidRPr="009F3C9D">
              <w:rPr>
                <w:rFonts w:eastAsia="Calibri"/>
              </w:rPr>
              <w:t>1.2. Копия паспорта Претендента и его уполномоченного представителя (для Претендентов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Претендента при подаче Заявки на участие в торгах);</w:t>
            </w:r>
          </w:p>
          <w:p w14:paraId="5FC11A21" w14:textId="77777777" w:rsidR="00E228EC" w:rsidRPr="009F3C9D" w:rsidRDefault="00E228EC" w:rsidP="00511F0C">
            <w:pPr>
              <w:jc w:val="both"/>
              <w:rPr>
                <w:rFonts w:eastAsia="Calibri"/>
              </w:rPr>
            </w:pPr>
            <w:r w:rsidRPr="009F3C9D">
              <w:rPr>
                <w:rFonts w:eastAsia="Calibri"/>
              </w:rPr>
              <w:t>1.3. Документы, подтверждающие источники денежных средств, направляемых на оплату прав (требований).</w:t>
            </w:r>
          </w:p>
          <w:p w14:paraId="0E1448FF" w14:textId="77777777" w:rsidR="00E228EC" w:rsidRPr="009F3C9D" w:rsidRDefault="00E228EC" w:rsidP="00511F0C">
            <w:pPr>
              <w:jc w:val="both"/>
              <w:rPr>
                <w:rFonts w:eastAsia="Calibri"/>
              </w:rPr>
            </w:pPr>
            <w:r w:rsidRPr="009F3C9D">
              <w:rPr>
                <w:rFonts w:eastAsia="Calibri"/>
              </w:rPr>
              <w:t>1.3.1. В случае привлечения Претендентом займ</w:t>
            </w:r>
            <w:proofErr w:type="gramStart"/>
            <w:r w:rsidRPr="009F3C9D">
              <w:rPr>
                <w:rFonts w:eastAsia="Calibri"/>
              </w:rPr>
              <w:t>а(</w:t>
            </w:r>
            <w:proofErr w:type="gramEnd"/>
            <w:r w:rsidRPr="009F3C9D">
              <w:rPr>
                <w:rFonts w:eastAsia="Calibri"/>
              </w:rPr>
              <w:t>-</w:t>
            </w:r>
            <w:proofErr w:type="spellStart"/>
            <w:r w:rsidRPr="009F3C9D">
              <w:rPr>
                <w:rFonts w:eastAsia="Calibri"/>
              </w:rPr>
              <w:t>ов</w:t>
            </w:r>
            <w:proofErr w:type="spellEnd"/>
            <w:r w:rsidRPr="009F3C9D">
              <w:rPr>
                <w:rFonts w:eastAsia="Calibri"/>
              </w:rPr>
              <w:t>)/ кредита(-</w:t>
            </w:r>
            <w:proofErr w:type="spellStart"/>
            <w:r w:rsidRPr="009F3C9D">
              <w:rPr>
                <w:rFonts w:eastAsia="Calibri"/>
              </w:rPr>
              <w:t>ов</w:t>
            </w:r>
            <w:proofErr w:type="spellEnd"/>
            <w:r w:rsidRPr="009F3C9D">
              <w:rPr>
                <w:rFonts w:eastAsia="Calibri"/>
              </w:rPr>
              <w:t>) для оплаты прав (требований):</w:t>
            </w:r>
          </w:p>
          <w:p w14:paraId="3B410C6B" w14:textId="77777777" w:rsidR="00E228EC" w:rsidRPr="009F3C9D" w:rsidRDefault="00E228EC" w:rsidP="00511F0C">
            <w:pPr>
              <w:ind w:firstLine="33"/>
              <w:jc w:val="both"/>
              <w:rPr>
                <w:rFonts w:eastAsia="Calibri"/>
              </w:rPr>
            </w:pPr>
            <w:r w:rsidRPr="009F3C9D">
              <w:rPr>
                <w:rFonts w:eastAsia="Calibri"/>
              </w:rPr>
              <w:t>- окончательный срок погашения обязательств (по основному долгу и процентам) Претендента по привлеченном</w:t>
            </w:r>
            <w:proofErr w:type="gramStart"/>
            <w:r w:rsidRPr="009F3C9D">
              <w:rPr>
                <w:rFonts w:eastAsia="Calibri"/>
              </w:rPr>
              <w:t>у(</w:t>
            </w:r>
            <w:proofErr w:type="gramEnd"/>
            <w:r w:rsidRPr="009F3C9D">
              <w:rPr>
                <w:rFonts w:eastAsia="Calibri"/>
              </w:rPr>
              <w:t>-ым) займу(-</w:t>
            </w:r>
            <w:proofErr w:type="spellStart"/>
            <w:r w:rsidRPr="009F3C9D">
              <w:rPr>
                <w:rFonts w:eastAsia="Calibri"/>
              </w:rPr>
              <w:t>ам</w:t>
            </w:r>
            <w:proofErr w:type="spellEnd"/>
            <w:r w:rsidRPr="009F3C9D">
              <w:rPr>
                <w:rFonts w:eastAsia="Calibri"/>
              </w:rPr>
              <w:t>)/ кредиту(-</w:t>
            </w:r>
            <w:proofErr w:type="spellStart"/>
            <w:r w:rsidRPr="009F3C9D">
              <w:rPr>
                <w:rFonts w:eastAsia="Calibri"/>
              </w:rPr>
              <w:t>ам</w:t>
            </w:r>
            <w:proofErr w:type="spellEnd"/>
            <w:r w:rsidRPr="009F3C9D">
              <w:rPr>
                <w:rFonts w:eastAsia="Calibri"/>
              </w:rPr>
              <w:t>) должен превышать срок исполнения обязательств по договору уступки прав (требований) более чем на 42 (Сорок два) месяца;</w:t>
            </w:r>
          </w:p>
          <w:p w14:paraId="49863E09" w14:textId="77777777" w:rsidR="00E228EC" w:rsidRPr="009F3C9D" w:rsidRDefault="00E228EC" w:rsidP="00511F0C">
            <w:pPr>
              <w:ind w:firstLine="33"/>
              <w:jc w:val="both"/>
              <w:rPr>
                <w:rFonts w:eastAsia="Calibri"/>
              </w:rPr>
            </w:pPr>
            <w:r w:rsidRPr="009F3C9D">
              <w:rPr>
                <w:rFonts w:eastAsia="Calibri"/>
              </w:rPr>
              <w:t>- займодавцем (-</w:t>
            </w:r>
            <w:proofErr w:type="spellStart"/>
            <w:r w:rsidRPr="009F3C9D">
              <w:rPr>
                <w:rFonts w:eastAsia="Calibri"/>
              </w:rPr>
              <w:t>ами</w:t>
            </w:r>
            <w:proofErr w:type="spellEnd"/>
            <w:r w:rsidRPr="009F3C9D">
              <w:rPr>
                <w:rFonts w:eastAsia="Calibri"/>
              </w:rPr>
              <w:t>)/ кредиторо</w:t>
            </w:r>
            <w:proofErr w:type="gramStart"/>
            <w:r w:rsidRPr="009F3C9D">
              <w:rPr>
                <w:rFonts w:eastAsia="Calibri"/>
              </w:rPr>
              <w:t>м(</w:t>
            </w:r>
            <w:proofErr w:type="gramEnd"/>
            <w:r w:rsidRPr="009F3C9D">
              <w:rPr>
                <w:rFonts w:eastAsia="Calibri"/>
              </w:rPr>
              <w:t>-</w:t>
            </w:r>
            <w:proofErr w:type="spellStart"/>
            <w:r w:rsidRPr="009F3C9D">
              <w:rPr>
                <w:rFonts w:eastAsia="Calibri"/>
              </w:rPr>
              <w:t>ами</w:t>
            </w:r>
            <w:proofErr w:type="spellEnd"/>
            <w:r w:rsidRPr="009F3C9D">
              <w:rPr>
                <w:rFonts w:eastAsia="Calibri"/>
              </w:rPr>
              <w:t>) (прямо или косвенно) не должны выступать заемщики Принципала и/или лица, аффилированные Принципалу, Должнику.</w:t>
            </w:r>
          </w:p>
          <w:p w14:paraId="3E06BEF4" w14:textId="77777777" w:rsidR="00E228EC" w:rsidRPr="009F3C9D" w:rsidRDefault="00E228EC" w:rsidP="00511F0C">
            <w:pPr>
              <w:jc w:val="both"/>
              <w:rPr>
                <w:rFonts w:eastAsia="Calibri"/>
              </w:rPr>
            </w:pPr>
            <w:r w:rsidRPr="009F3C9D">
              <w:rPr>
                <w:rFonts w:eastAsia="Calibri"/>
              </w:rPr>
              <w:t>1.3.2. В случае привлечения Претендентом займа (-</w:t>
            </w:r>
            <w:proofErr w:type="spellStart"/>
            <w:r w:rsidRPr="009F3C9D">
              <w:rPr>
                <w:rFonts w:eastAsia="Calibri"/>
              </w:rPr>
              <w:t>ов</w:t>
            </w:r>
            <w:proofErr w:type="spellEnd"/>
            <w:r w:rsidRPr="009F3C9D">
              <w:rPr>
                <w:rFonts w:eastAsia="Calibri"/>
              </w:rPr>
              <w:t>) юридическог</w:t>
            </w:r>
            <w:proofErr w:type="gramStart"/>
            <w:r w:rsidRPr="009F3C9D">
              <w:rPr>
                <w:rFonts w:eastAsia="Calibri"/>
              </w:rPr>
              <w:t>о(</w:t>
            </w:r>
            <w:proofErr w:type="gramEnd"/>
            <w:r w:rsidRPr="009F3C9D">
              <w:rPr>
                <w:rFonts w:eastAsia="Calibri"/>
              </w:rPr>
              <w:t>-их) лица(лиц) для оплаты прав (требований):</w:t>
            </w:r>
          </w:p>
          <w:p w14:paraId="23D86EC2" w14:textId="77777777" w:rsidR="00E228EC" w:rsidRPr="009F3C9D" w:rsidRDefault="00E228EC" w:rsidP="00511F0C">
            <w:pPr>
              <w:ind w:firstLine="33"/>
              <w:jc w:val="both"/>
              <w:rPr>
                <w:rFonts w:eastAsia="Calibri"/>
              </w:rPr>
            </w:pPr>
            <w:r w:rsidRPr="009F3C9D">
              <w:rPr>
                <w:rFonts w:eastAsia="Calibri"/>
              </w:rPr>
              <w:t>- предоставление Претендентом документов, подтверждающих правоспособность юридическог</w:t>
            </w:r>
            <w:proofErr w:type="gramStart"/>
            <w:r w:rsidRPr="009F3C9D">
              <w:rPr>
                <w:rFonts w:eastAsia="Calibri"/>
              </w:rPr>
              <w:t>о(</w:t>
            </w:r>
            <w:proofErr w:type="gramEnd"/>
            <w:r w:rsidRPr="009F3C9D">
              <w:rPr>
                <w:rFonts w:eastAsia="Calibri"/>
              </w:rPr>
              <w:t xml:space="preserve">-их) лица(лиц), предоставляющего(-их) </w:t>
            </w:r>
            <w:proofErr w:type="spellStart"/>
            <w:r w:rsidRPr="009F3C9D">
              <w:rPr>
                <w:rFonts w:eastAsia="Calibri"/>
              </w:rPr>
              <w:t>займ</w:t>
            </w:r>
            <w:proofErr w:type="spellEnd"/>
            <w:r w:rsidRPr="009F3C9D">
              <w:rPr>
                <w:rFonts w:eastAsia="Calibri"/>
              </w:rPr>
              <w:t xml:space="preserve">(-ы), а также решений уполномоченных органов управления юридического(-их) лица(лиц), предоставляющего(-их) </w:t>
            </w:r>
            <w:proofErr w:type="spellStart"/>
            <w:r w:rsidRPr="009F3C9D">
              <w:rPr>
                <w:rFonts w:eastAsia="Calibri"/>
              </w:rPr>
              <w:t>займ</w:t>
            </w:r>
            <w:proofErr w:type="spellEnd"/>
            <w:r w:rsidRPr="009F3C9D">
              <w:rPr>
                <w:rFonts w:eastAsia="Calibri"/>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9F3C9D">
              <w:rPr>
                <w:rFonts w:eastAsia="Calibri"/>
              </w:rPr>
              <w:t>займ</w:t>
            </w:r>
            <w:proofErr w:type="spellEnd"/>
            <w:r w:rsidRPr="009F3C9D">
              <w:rPr>
                <w:rFonts w:eastAsia="Calibri"/>
              </w:rPr>
              <w:t>(-ы).</w:t>
            </w:r>
          </w:p>
          <w:p w14:paraId="411DD355" w14:textId="77777777" w:rsidR="00E228EC" w:rsidRPr="009F3C9D" w:rsidRDefault="00E228EC" w:rsidP="00511F0C">
            <w:pPr>
              <w:jc w:val="both"/>
              <w:rPr>
                <w:rFonts w:eastAsia="Calibri"/>
              </w:rPr>
            </w:pPr>
            <w:r w:rsidRPr="009F3C9D">
              <w:rPr>
                <w:rFonts w:eastAsia="Calibri"/>
              </w:rPr>
              <w:t>- 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04128F7" w14:textId="77777777" w:rsidR="00E228EC" w:rsidRPr="009F3C9D" w:rsidRDefault="00E228EC" w:rsidP="00511F0C">
            <w:pPr>
              <w:jc w:val="both"/>
              <w:rPr>
                <w:rFonts w:eastAsia="Calibri"/>
              </w:rPr>
            </w:pPr>
            <w:r w:rsidRPr="009F3C9D">
              <w:rPr>
                <w:rFonts w:eastAsia="Calibri"/>
              </w:rPr>
              <w:t>1.4. Гарантийные письма Претендента подтверждающие, что все предоставленные документы и сведения, подтверждающие финансовое положение Претендента (в том числе бухгалтерские балансы и т.д.), являются действительными и достоверными;</w:t>
            </w:r>
          </w:p>
          <w:p w14:paraId="4ECD5157" w14:textId="77777777" w:rsidR="00E228EC" w:rsidRPr="009F3C9D" w:rsidRDefault="00E228EC" w:rsidP="00511F0C">
            <w:pPr>
              <w:jc w:val="both"/>
              <w:rPr>
                <w:rFonts w:eastAsia="Calibri"/>
              </w:rPr>
            </w:pPr>
            <w:r w:rsidRPr="009F3C9D">
              <w:rPr>
                <w:rFonts w:eastAsia="Calibri"/>
              </w:rPr>
              <w:t>1.5. Документов, подтверждающих известность и понятность Претенденту всех фактов и обстоятельств относительно прав (требований), приобретаемых по дог</w:t>
            </w:r>
            <w:r>
              <w:rPr>
                <w:rFonts w:eastAsia="Calibri"/>
              </w:rPr>
              <w:t>овору уступки прав (требований);</w:t>
            </w:r>
          </w:p>
          <w:p w14:paraId="35B646A1" w14:textId="77777777" w:rsidR="00E228EC" w:rsidRPr="009F3C9D" w:rsidRDefault="00E228EC" w:rsidP="00511F0C">
            <w:pPr>
              <w:jc w:val="both"/>
              <w:rPr>
                <w:rFonts w:eastAsia="Calibri"/>
              </w:rPr>
            </w:pPr>
            <w:r w:rsidRPr="009F3C9D">
              <w:rPr>
                <w:rFonts w:eastAsia="Calibri"/>
              </w:rPr>
              <w:t>1.6. Письменное заявление (в свободной форме), что Претендент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CC06807" w14:textId="77777777" w:rsidR="00E228EC" w:rsidRDefault="00E228EC" w:rsidP="00511F0C">
            <w:pPr>
              <w:jc w:val="both"/>
              <w:rPr>
                <w:rFonts w:eastAsia="Calibri"/>
              </w:rPr>
            </w:pPr>
            <w:r>
              <w:rPr>
                <w:rFonts w:eastAsia="Calibri"/>
              </w:rPr>
              <w:t>1.7. Согласие Претендента</w:t>
            </w:r>
            <w:r w:rsidRPr="00726A6A">
              <w:rPr>
                <w:rFonts w:eastAsia="Calibri"/>
              </w:rPr>
              <w:t xml:space="preserve"> на</w:t>
            </w:r>
            <w:r>
              <w:rPr>
                <w:rFonts w:eastAsia="Calibri"/>
              </w:rPr>
              <w:t xml:space="preserve"> заключение д</w:t>
            </w:r>
            <w:r w:rsidRPr="00726A6A">
              <w:rPr>
                <w:rFonts w:eastAsia="Calibri"/>
              </w:rPr>
              <w:t xml:space="preserve">оговора </w:t>
            </w:r>
            <w:r>
              <w:rPr>
                <w:rFonts w:eastAsia="Calibri"/>
              </w:rPr>
              <w:t xml:space="preserve">уступки прав (требований) </w:t>
            </w:r>
            <w:r w:rsidRPr="00726A6A">
              <w:rPr>
                <w:rFonts w:eastAsia="Calibri"/>
              </w:rPr>
              <w:t xml:space="preserve">при условии перехода к нему прав и обязанностей заявителя в делах о несостоятельности (банкротстве) ООО «Фабрика орудий лова» (дело №А59-1409/2020) </w:t>
            </w:r>
            <w:proofErr w:type="gramStart"/>
            <w:r w:rsidRPr="00726A6A">
              <w:rPr>
                <w:rFonts w:eastAsia="Calibri"/>
              </w:rPr>
              <w:t>и ООО</w:t>
            </w:r>
            <w:proofErr w:type="gramEnd"/>
            <w:r>
              <w:rPr>
                <w:rFonts w:eastAsia="Calibri"/>
              </w:rPr>
              <w:t> </w:t>
            </w:r>
            <w:r w:rsidRPr="00726A6A">
              <w:rPr>
                <w:rFonts w:eastAsia="Calibri"/>
              </w:rPr>
              <w:t>«</w:t>
            </w:r>
            <w:r>
              <w:rPr>
                <w:rFonts w:eastAsia="Calibri"/>
              </w:rPr>
              <w:t xml:space="preserve">Бест Фиш» (дело №А59-1617/2021), </w:t>
            </w:r>
            <w:r w:rsidRPr="00D77879">
              <w:rPr>
                <w:rFonts w:eastAsia="Calibri"/>
              </w:rPr>
              <w:t xml:space="preserve">в том числе предусмотренные ст. 59 Федерального закона от 26.10.2002 № 127-ФЗ «О </w:t>
            </w:r>
            <w:r w:rsidRPr="00CD1F1B">
              <w:rPr>
                <w:rFonts w:eastAsia="Calibri"/>
              </w:rPr>
              <w:t>несостоятельности (банкротстве)»;</w:t>
            </w:r>
          </w:p>
          <w:p w14:paraId="6C63B0B4" w14:textId="77777777" w:rsidR="00E228EC" w:rsidRPr="00CD1F1B" w:rsidRDefault="00E228EC" w:rsidP="00511F0C">
            <w:pPr>
              <w:jc w:val="both"/>
              <w:rPr>
                <w:rFonts w:eastAsia="Calibri"/>
              </w:rPr>
            </w:pPr>
            <w:r>
              <w:rPr>
                <w:rFonts w:eastAsia="Calibri"/>
              </w:rPr>
              <w:t>1.8. С</w:t>
            </w:r>
            <w:r w:rsidRPr="00640DE7">
              <w:rPr>
                <w:rFonts w:eastAsia="Calibri"/>
              </w:rPr>
              <w:t>огласие на обработку персональных данных (Приложение 3);</w:t>
            </w:r>
          </w:p>
          <w:p w14:paraId="477ED344" w14:textId="77777777" w:rsidR="00E228EC" w:rsidRPr="00CD1F1B" w:rsidRDefault="00E228EC" w:rsidP="00511F0C">
            <w:pPr>
              <w:jc w:val="both"/>
              <w:rPr>
                <w:rFonts w:eastAsia="Calibri"/>
              </w:rPr>
            </w:pPr>
            <w:r>
              <w:rPr>
                <w:rFonts w:eastAsia="Calibri"/>
              </w:rPr>
              <w:t>1.9</w:t>
            </w:r>
            <w:r w:rsidRPr="00CD1F1B">
              <w:rPr>
                <w:rFonts w:eastAsia="Calibri"/>
              </w:rPr>
              <w:t>. Опись документов.</w:t>
            </w:r>
          </w:p>
          <w:p w14:paraId="677BA481" w14:textId="77777777" w:rsidR="00E228EC" w:rsidRPr="00CD1F1B" w:rsidRDefault="00E228EC" w:rsidP="00511F0C">
            <w:pPr>
              <w:jc w:val="both"/>
              <w:rPr>
                <w:rFonts w:eastAsia="Calibri"/>
              </w:rPr>
            </w:pPr>
            <w:r w:rsidRPr="00CD1F1B">
              <w:rPr>
                <w:rFonts w:eastAsia="Calibri"/>
              </w:rPr>
              <w:t>2. Претендент – физическое лицо дополнительно предоставляет:</w:t>
            </w:r>
          </w:p>
          <w:p w14:paraId="0D62C9AD" w14:textId="77777777" w:rsidR="00E228EC" w:rsidRPr="00CD1F1B" w:rsidRDefault="00E228EC" w:rsidP="00511F0C">
            <w:pPr>
              <w:jc w:val="both"/>
              <w:rPr>
                <w:rFonts w:eastAsia="Calibri"/>
              </w:rPr>
            </w:pPr>
            <w:r w:rsidRPr="00CD1F1B">
              <w:rPr>
                <w:rFonts w:eastAsia="Calibri"/>
              </w:rPr>
              <w:t>2.1. Копии всех листов документа, удостоверяющего личность;</w:t>
            </w:r>
          </w:p>
          <w:p w14:paraId="21DF990A" w14:textId="77777777" w:rsidR="00E228EC" w:rsidRPr="00CD1F1B" w:rsidRDefault="00E228EC" w:rsidP="00511F0C">
            <w:pPr>
              <w:jc w:val="both"/>
              <w:rPr>
                <w:rFonts w:eastAsia="Calibri"/>
              </w:rPr>
            </w:pPr>
            <w:r w:rsidRPr="00CD1F1B">
              <w:rPr>
                <w:rFonts w:eastAsia="Calibri"/>
              </w:rPr>
              <w:t>2.2. Копии свидетельства о постановке на налоговый учет;</w:t>
            </w:r>
          </w:p>
          <w:p w14:paraId="19FEC809" w14:textId="77777777" w:rsidR="00E228EC" w:rsidRPr="00CD1F1B" w:rsidRDefault="00E228EC" w:rsidP="00511F0C">
            <w:pPr>
              <w:jc w:val="both"/>
              <w:rPr>
                <w:rFonts w:eastAsia="Calibri"/>
              </w:rPr>
            </w:pPr>
            <w:r w:rsidRPr="00CD1F1B">
              <w:rPr>
                <w:rFonts w:eastAsia="Calibri"/>
              </w:rPr>
              <w:t>2.3. Нотариально удостоверенный документ, подтверждающий наличие согласия супруг</w:t>
            </w:r>
            <w:proofErr w:type="gramStart"/>
            <w:r w:rsidRPr="00CD1F1B">
              <w:rPr>
                <w:rFonts w:eastAsia="Calibri"/>
              </w:rPr>
              <w:t>и(</w:t>
            </w:r>
            <w:proofErr w:type="gramEnd"/>
            <w:r w:rsidRPr="00CD1F1B">
              <w:rPr>
                <w:rFonts w:eastAsia="Calibri"/>
              </w:rPr>
              <w:t>-а) Претендента на заключение договора реализации прав (требований), 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 справка из ЗАГС об отсутствии брака;</w:t>
            </w:r>
          </w:p>
          <w:p w14:paraId="5E4CCBF9" w14:textId="77777777" w:rsidR="00E228EC" w:rsidRPr="00CD1F1B" w:rsidRDefault="00E228EC" w:rsidP="00511F0C">
            <w:pPr>
              <w:jc w:val="both"/>
              <w:rPr>
                <w:rFonts w:eastAsia="Calibri"/>
              </w:rPr>
            </w:pPr>
            <w:r w:rsidRPr="00CD1F1B">
              <w:rPr>
                <w:rFonts w:eastAsia="Calibri"/>
              </w:rPr>
              <w:t>2.4.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4339ECF8" w14:textId="77777777" w:rsidR="00E228EC" w:rsidRPr="00CD1F1B" w:rsidRDefault="00E228EC" w:rsidP="00511F0C">
            <w:pPr>
              <w:jc w:val="both"/>
              <w:rPr>
                <w:rFonts w:eastAsia="Calibri"/>
              </w:rPr>
            </w:pPr>
            <w:r w:rsidRPr="00CD1F1B">
              <w:rPr>
                <w:rFonts w:eastAsia="Calibri"/>
              </w:rPr>
              <w:t>3. Претендент – индивидуальный предприниматель дополнительно предоставляет:</w:t>
            </w:r>
          </w:p>
          <w:p w14:paraId="2044B3F2" w14:textId="77777777" w:rsidR="00E228EC" w:rsidRPr="00CD1F1B" w:rsidRDefault="00E228EC" w:rsidP="00511F0C">
            <w:pPr>
              <w:jc w:val="both"/>
              <w:rPr>
                <w:rFonts w:eastAsia="Calibri"/>
              </w:rPr>
            </w:pPr>
            <w:r w:rsidRPr="00CD1F1B">
              <w:rPr>
                <w:rFonts w:eastAsia="Calibri"/>
              </w:rPr>
              <w:t>3.1. Копии всех листов документа, удостоверяющего личность;</w:t>
            </w:r>
          </w:p>
          <w:p w14:paraId="06B81A31" w14:textId="77777777" w:rsidR="00E228EC" w:rsidRPr="00CD1F1B" w:rsidRDefault="00E228EC" w:rsidP="00511F0C">
            <w:pPr>
              <w:jc w:val="both"/>
              <w:rPr>
                <w:rFonts w:eastAsia="Calibri"/>
              </w:rPr>
            </w:pPr>
            <w:r w:rsidRPr="00CD1F1B">
              <w:rPr>
                <w:rFonts w:eastAsia="Calibri"/>
              </w:rPr>
              <w:t>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FD18405" w14:textId="77777777" w:rsidR="00E228EC" w:rsidRPr="00CD1F1B" w:rsidRDefault="00E228EC" w:rsidP="00511F0C">
            <w:pPr>
              <w:jc w:val="both"/>
              <w:rPr>
                <w:rFonts w:eastAsia="Calibri"/>
              </w:rPr>
            </w:pPr>
            <w:r w:rsidRPr="00CD1F1B">
              <w:rPr>
                <w:rFonts w:eastAsia="Calibri"/>
              </w:rPr>
              <w:t>3.3. Копии свидетельства о постановке на налоговый учет;</w:t>
            </w:r>
          </w:p>
          <w:p w14:paraId="03C292D4" w14:textId="77777777" w:rsidR="00E228EC" w:rsidRPr="009F3C9D" w:rsidRDefault="00E228EC" w:rsidP="00511F0C">
            <w:pPr>
              <w:jc w:val="both"/>
              <w:rPr>
                <w:rFonts w:eastAsia="Calibri"/>
              </w:rPr>
            </w:pPr>
            <w:r w:rsidRPr="00CD1F1B">
              <w:rPr>
                <w:rFonts w:eastAsia="Calibri"/>
              </w:rPr>
              <w:t>3.4. Действительную на день предоставления</w:t>
            </w:r>
            <w:r w:rsidRPr="009F3C9D">
              <w:rPr>
                <w:rFonts w:eastAsia="Calibri"/>
              </w:rPr>
              <w:t xml:space="preserve">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A878EC7" w14:textId="77777777" w:rsidR="00E228EC" w:rsidRPr="009F3C9D" w:rsidRDefault="00E228EC" w:rsidP="00511F0C">
            <w:pPr>
              <w:jc w:val="both"/>
              <w:rPr>
                <w:rFonts w:eastAsia="Calibri"/>
              </w:rPr>
            </w:pPr>
            <w:r w:rsidRPr="009F3C9D">
              <w:rPr>
                <w:rFonts w:eastAsia="Calibri"/>
              </w:rPr>
              <w:t>3.5. Нотариально удостоверенный документ, подтверждающий наличие согласия супруг</w:t>
            </w:r>
            <w:proofErr w:type="gramStart"/>
            <w:r w:rsidRPr="009F3C9D">
              <w:rPr>
                <w:rFonts w:eastAsia="Calibri"/>
              </w:rPr>
              <w:t>и(</w:t>
            </w:r>
            <w:proofErr w:type="gramEnd"/>
            <w:r w:rsidRPr="009F3C9D">
              <w:rPr>
                <w:rFonts w:eastAsia="Calibri"/>
              </w:rPr>
              <w:t>-а) Претендента на заключение договора реализации прав (требований), 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 справка из ЗАГС об отсутствии брака;</w:t>
            </w:r>
          </w:p>
          <w:p w14:paraId="1D7D583D" w14:textId="77777777" w:rsidR="00E228EC" w:rsidRPr="009F3C9D" w:rsidRDefault="00E228EC" w:rsidP="00511F0C">
            <w:pPr>
              <w:jc w:val="both"/>
              <w:rPr>
                <w:rFonts w:eastAsia="Calibri"/>
              </w:rPr>
            </w:pPr>
            <w:r w:rsidRPr="009F3C9D">
              <w:rPr>
                <w:rFonts w:eastAsia="Calibri"/>
              </w:rPr>
              <w:t>3.6.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6CAEDDDF" w14:textId="77777777" w:rsidR="00E228EC" w:rsidRPr="009F3C9D" w:rsidRDefault="00E228EC" w:rsidP="00511F0C">
            <w:pPr>
              <w:jc w:val="both"/>
              <w:rPr>
                <w:rFonts w:eastAsia="Calibri"/>
              </w:rPr>
            </w:pPr>
            <w:r w:rsidRPr="009F3C9D">
              <w:rPr>
                <w:rFonts w:eastAsia="Calibri"/>
              </w:rPr>
              <w:t>4. Претендент – юридическое лицо дополнительно предоставляет:</w:t>
            </w:r>
          </w:p>
          <w:p w14:paraId="0B829951" w14:textId="77777777" w:rsidR="00E228EC" w:rsidRPr="009F3C9D" w:rsidRDefault="00E228EC" w:rsidP="00511F0C">
            <w:pPr>
              <w:jc w:val="both"/>
              <w:rPr>
                <w:rFonts w:eastAsia="Calibri"/>
              </w:rPr>
            </w:pPr>
            <w:r w:rsidRPr="009F3C9D">
              <w:rPr>
                <w:rFonts w:eastAsia="Calibri"/>
              </w:rPr>
              <w:t>4.1. Нотариально удостоверенные копии учредительных и правоустанавливающих документов;</w:t>
            </w:r>
          </w:p>
          <w:p w14:paraId="2C408215" w14:textId="77777777" w:rsidR="00E228EC" w:rsidRPr="009F3C9D" w:rsidRDefault="00E228EC" w:rsidP="00511F0C">
            <w:pPr>
              <w:jc w:val="both"/>
              <w:rPr>
                <w:rFonts w:eastAsia="Calibri"/>
              </w:rPr>
            </w:pPr>
            <w:r w:rsidRPr="009F3C9D">
              <w:rPr>
                <w:rFonts w:eastAsia="Calibri"/>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41CB284F" w14:textId="77777777" w:rsidR="00E228EC" w:rsidRPr="009F3C9D" w:rsidRDefault="00E228EC" w:rsidP="00511F0C">
            <w:pPr>
              <w:jc w:val="both"/>
              <w:rPr>
                <w:rFonts w:eastAsia="Calibri"/>
              </w:rPr>
            </w:pPr>
            <w:r w:rsidRPr="009F3C9D">
              <w:rPr>
                <w:rFonts w:eastAsia="Calibri"/>
              </w:rPr>
              <w:t>4.3. Нотариально удостоверенную копию свидетельства о государственной регистрации юридического лица;</w:t>
            </w:r>
          </w:p>
          <w:p w14:paraId="29D63FE2" w14:textId="77777777" w:rsidR="00E228EC" w:rsidRPr="009F3C9D" w:rsidRDefault="00E228EC" w:rsidP="00511F0C">
            <w:pPr>
              <w:jc w:val="both"/>
              <w:rPr>
                <w:rFonts w:eastAsia="Calibri"/>
              </w:rPr>
            </w:pPr>
            <w:r w:rsidRPr="009F3C9D">
              <w:rPr>
                <w:rFonts w:eastAsia="Calibri"/>
              </w:rPr>
              <w:t>4.4. Нотариально удостоверенную копию свидетельства о постановке на учет в налоговом органе;</w:t>
            </w:r>
          </w:p>
          <w:p w14:paraId="1B5D8B22" w14:textId="77777777" w:rsidR="00E228EC" w:rsidRPr="009F3C9D" w:rsidRDefault="00E228EC" w:rsidP="00511F0C">
            <w:pPr>
              <w:jc w:val="both"/>
              <w:rPr>
                <w:rFonts w:eastAsia="Calibri"/>
              </w:rPr>
            </w:pPr>
            <w:r w:rsidRPr="009F3C9D">
              <w:rPr>
                <w:rFonts w:eastAsia="Calibri"/>
              </w:rPr>
              <w:t>4.5. Надлежащим образом оформленные и заверенные документы, подтверждающие полномочия органов управления и должностных лиц Претендента;</w:t>
            </w:r>
          </w:p>
          <w:p w14:paraId="6EAF5C82" w14:textId="77777777" w:rsidR="00E228EC" w:rsidRPr="009F3C9D" w:rsidRDefault="00E228EC" w:rsidP="00511F0C">
            <w:pPr>
              <w:jc w:val="both"/>
              <w:rPr>
                <w:rFonts w:eastAsia="Calibri"/>
              </w:rPr>
            </w:pPr>
            <w:r w:rsidRPr="009F3C9D">
              <w:rPr>
                <w:rFonts w:eastAsia="Calibri"/>
              </w:rPr>
              <w:t>4.6. Надлежащим образом оформленное письменное решение уполномоченных органов управления Претендента об одобрении заключения соответствующих сделок в случаях, если такое решение требуется в соответствии с требованиями законодательства и/или устава Претендента.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w:t>
            </w:r>
            <w:r>
              <w:rPr>
                <w:rFonts w:eastAsia="Calibri"/>
              </w:rPr>
              <w:t>овора уступки прав (требований);</w:t>
            </w:r>
          </w:p>
          <w:p w14:paraId="587CDA2A" w14:textId="77777777" w:rsidR="00E228EC" w:rsidRPr="009F3C9D" w:rsidRDefault="00E228EC" w:rsidP="00511F0C">
            <w:pPr>
              <w:jc w:val="both"/>
              <w:rPr>
                <w:rFonts w:eastAsia="Calibri"/>
              </w:rPr>
            </w:pPr>
            <w:r w:rsidRPr="009F3C9D">
              <w:rPr>
                <w:rFonts w:eastAsia="Calibri"/>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48CA6FAC" w14:textId="77777777" w:rsidR="00E228EC" w:rsidRPr="009F3C9D" w:rsidRDefault="00E228EC" w:rsidP="00511F0C">
            <w:pPr>
              <w:jc w:val="both"/>
              <w:rPr>
                <w:rFonts w:eastAsia="Calibri"/>
              </w:rPr>
            </w:pPr>
            <w:r w:rsidRPr="009F3C9D">
              <w:rPr>
                <w:rFonts w:eastAsia="Calibri"/>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Претендента;</w:t>
            </w:r>
          </w:p>
          <w:p w14:paraId="192B0156" w14:textId="77777777" w:rsidR="00E228EC" w:rsidRPr="009F3C9D" w:rsidRDefault="00E228EC" w:rsidP="00511F0C">
            <w:pPr>
              <w:jc w:val="both"/>
              <w:rPr>
                <w:rFonts w:eastAsia="Calibri"/>
              </w:rPr>
            </w:pPr>
            <w:r w:rsidRPr="009F3C9D">
              <w:rPr>
                <w:rFonts w:eastAsia="Calibri"/>
              </w:rPr>
              <w:t>4.9. Оригиналы или надлежащим образом заверенные копии:</w:t>
            </w:r>
          </w:p>
          <w:p w14:paraId="21DF10A4" w14:textId="77777777" w:rsidR="00E228EC" w:rsidRPr="009F3C9D" w:rsidRDefault="00E228EC" w:rsidP="00511F0C">
            <w:pPr>
              <w:ind w:firstLine="33"/>
              <w:jc w:val="both"/>
              <w:rPr>
                <w:rFonts w:eastAsia="Calibri"/>
              </w:rPr>
            </w:pPr>
            <w:r w:rsidRPr="009F3C9D">
              <w:rPr>
                <w:rFonts w:eastAsia="Calibri"/>
              </w:rPr>
              <w:t xml:space="preserve">- бухгалтерской отчетности (на последнюю отчетную дату), составленной по </w:t>
            </w:r>
            <w:r w:rsidRPr="009F3C9D">
              <w:t>РСБУ</w:t>
            </w:r>
            <w:r w:rsidRPr="00EE1ED4">
              <w:rPr>
                <w:rStyle w:val="a5"/>
              </w:rPr>
              <w:footnoteReference w:id="1"/>
            </w:r>
            <w:r w:rsidRPr="009F3C9D">
              <w:t>,</w:t>
            </w:r>
            <w:r w:rsidRPr="009F3C9D">
              <w:rPr>
                <w:rFonts w:eastAsia="Calibri"/>
              </w:rPr>
              <w:t xml:space="preserve"> подписанной руководителем и главным бухгалтером Претендента и заверенной печатью Претендента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58E399A" w14:textId="77777777" w:rsidR="00E228EC" w:rsidRPr="009F3C9D" w:rsidRDefault="00E228EC" w:rsidP="00511F0C">
            <w:pPr>
              <w:ind w:firstLine="33"/>
              <w:jc w:val="both"/>
              <w:rPr>
                <w:rFonts w:eastAsia="Calibri"/>
              </w:rPr>
            </w:pPr>
            <w:r w:rsidRPr="009F3C9D">
              <w:rPr>
                <w:rFonts w:eastAsia="Calibri"/>
              </w:rPr>
              <w:t>- расшифровок основных статей бухгалтерской отчетности, удельный вес которых составляет более 5% валюты баланса Претендента;</w:t>
            </w:r>
          </w:p>
          <w:p w14:paraId="3C446A24" w14:textId="77777777" w:rsidR="00E228EC" w:rsidRPr="009F3C9D" w:rsidRDefault="00E228EC" w:rsidP="00511F0C">
            <w:pPr>
              <w:jc w:val="both"/>
              <w:rPr>
                <w:rFonts w:eastAsia="Calibri"/>
              </w:rPr>
            </w:pPr>
            <w:r w:rsidRPr="009F3C9D">
              <w:rPr>
                <w:rFonts w:eastAsia="Calibri"/>
              </w:rPr>
              <w:t>- иных документов и информации, характеризующих финансовое положение Претендента, по требованию Принципала.</w:t>
            </w:r>
          </w:p>
          <w:p w14:paraId="27A8AC77" w14:textId="77777777" w:rsidR="00E228EC" w:rsidRPr="006A238A" w:rsidRDefault="00E228EC" w:rsidP="00511F0C">
            <w:pPr>
              <w:jc w:val="both"/>
              <w:rPr>
                <w:rFonts w:eastAsia="Calibri"/>
                <w:highlight w:val="yellow"/>
              </w:rPr>
            </w:pPr>
            <w:r w:rsidRPr="00EC0848">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EC0848">
              <w:rPr>
                <w:rFonts w:eastAsia="Calibri"/>
              </w:rPr>
              <w:t>апостиль</w:t>
            </w:r>
            <w:proofErr w:type="spellEnd"/>
            <w:r w:rsidRPr="00EC0848">
              <w:rPr>
                <w:rFonts w:eastAsia="Calibri"/>
              </w:rPr>
              <w:t>).</w:t>
            </w:r>
          </w:p>
        </w:tc>
      </w:tr>
      <w:tr w:rsidR="00E228EC" w:rsidRPr="006A238A" w14:paraId="19254E83" w14:textId="77777777" w:rsidTr="00511F0C">
        <w:trPr>
          <w:trHeight w:val="60"/>
        </w:trPr>
        <w:tc>
          <w:tcPr>
            <w:tcW w:w="2891" w:type="dxa"/>
            <w:shd w:val="clear" w:color="auto" w:fill="auto"/>
          </w:tcPr>
          <w:p w14:paraId="7CFF983B" w14:textId="77777777" w:rsidR="00E228EC" w:rsidRPr="006A238A" w:rsidRDefault="00E228EC" w:rsidP="00511F0C">
            <w:pPr>
              <w:rPr>
                <w:rFonts w:eastAsia="Calibri"/>
                <w:highlight w:val="yellow"/>
              </w:rPr>
            </w:pPr>
            <w:r w:rsidRPr="001E1331">
              <w:rPr>
                <w:rFonts w:eastAsia="Calibri"/>
              </w:rPr>
              <w:t>Условия доступа Претендента к участию в торговой процедуре</w:t>
            </w:r>
          </w:p>
        </w:tc>
        <w:tc>
          <w:tcPr>
            <w:tcW w:w="6323" w:type="dxa"/>
            <w:shd w:val="clear" w:color="auto" w:fill="auto"/>
          </w:tcPr>
          <w:p w14:paraId="748010D5" w14:textId="77777777" w:rsidR="00E228EC" w:rsidRPr="009C426A" w:rsidRDefault="00E228EC" w:rsidP="00511F0C">
            <w:pPr>
              <w:jc w:val="both"/>
              <w:rPr>
                <w:rFonts w:eastAsia="Calibri"/>
              </w:rPr>
            </w:pPr>
            <w:r w:rsidRPr="009C426A">
              <w:rPr>
                <w:rFonts w:eastAsia="Calibri"/>
              </w:rPr>
              <w:t xml:space="preserve">При поступлении Заявки на участие в торговой процедуре Организатор торгов (в </w:t>
            </w:r>
            <w:proofErr w:type="spellStart"/>
            <w:r w:rsidRPr="009C426A">
              <w:rPr>
                <w:rFonts w:eastAsia="Calibri"/>
              </w:rPr>
              <w:t>т.ч</w:t>
            </w:r>
            <w:proofErr w:type="spellEnd"/>
            <w:r w:rsidRPr="009C426A">
              <w:rPr>
                <w:rFonts w:eastAsia="Calibri"/>
              </w:rPr>
              <w:t xml:space="preserve">. с участием Принципала) организует проверку правоспособности Претендента, </w:t>
            </w:r>
            <w:proofErr w:type="spellStart"/>
            <w:r w:rsidRPr="009C426A">
              <w:rPr>
                <w:rFonts w:eastAsia="Calibri"/>
              </w:rPr>
              <w:t>аффилированности</w:t>
            </w:r>
            <w:proofErr w:type="spellEnd"/>
            <w:r w:rsidRPr="009C426A">
              <w:rPr>
                <w:rFonts w:eastAsia="Calibri"/>
              </w:rPr>
              <w:t xml:space="preserve"> Претендента, а также соответствия Претендента иным условиям допуска к участию в торговой процедуре.</w:t>
            </w:r>
          </w:p>
          <w:p w14:paraId="7012AFE4" w14:textId="77777777" w:rsidR="00E228EC" w:rsidRPr="001E1331" w:rsidRDefault="00E228EC" w:rsidP="00511F0C">
            <w:pPr>
              <w:jc w:val="both"/>
              <w:rPr>
                <w:rFonts w:eastAsia="Calibri"/>
              </w:rPr>
            </w:pPr>
            <w:r w:rsidRPr="009C426A">
              <w:rPr>
                <w:rFonts w:eastAsia="Calibri"/>
              </w:rPr>
              <w:t xml:space="preserve">Организатор торгов отказывает Претенденту в приеме и регистрации Заявки на </w:t>
            </w:r>
            <w:r w:rsidRPr="001E1331">
              <w:rPr>
                <w:rFonts w:eastAsia="Calibri"/>
              </w:rPr>
              <w:t>участие в торгах в следующих случаях:</w:t>
            </w:r>
          </w:p>
          <w:p w14:paraId="17F2A90E" w14:textId="77777777" w:rsidR="00E228EC" w:rsidRPr="001E1331" w:rsidRDefault="00E228EC" w:rsidP="00511F0C">
            <w:pPr>
              <w:jc w:val="both"/>
              <w:rPr>
                <w:rFonts w:eastAsia="Calibri"/>
              </w:rPr>
            </w:pPr>
            <w:bookmarkStart w:id="8" w:name="OLE_LINK119"/>
            <w:bookmarkStart w:id="9" w:name="OLE_LINK120"/>
            <w:r w:rsidRPr="001E1331">
              <w:rPr>
                <w:rFonts w:eastAsia="Calibri"/>
              </w:rPr>
              <w:t xml:space="preserve">- заявка </w:t>
            </w:r>
            <w:proofErr w:type="gramStart"/>
            <w:r w:rsidRPr="001E1331">
              <w:rPr>
                <w:rFonts w:eastAsia="Calibri"/>
              </w:rPr>
              <w:t>на участие в торговой процедуре подана по истечении срока приема Заявок на участие в торговой процедуре</w:t>
            </w:r>
            <w:proofErr w:type="gramEnd"/>
            <w:r w:rsidRPr="001E1331">
              <w:rPr>
                <w:rFonts w:eastAsia="Calibri"/>
              </w:rPr>
              <w:t>, указанного в извещении;</w:t>
            </w:r>
          </w:p>
          <w:p w14:paraId="534C2EDD" w14:textId="77777777" w:rsidR="00E228EC" w:rsidRPr="001E1331" w:rsidRDefault="00E228EC" w:rsidP="00511F0C">
            <w:pPr>
              <w:jc w:val="both"/>
              <w:rPr>
                <w:rFonts w:eastAsia="Calibri"/>
              </w:rPr>
            </w:pPr>
            <w:r w:rsidRPr="001E1331">
              <w:rPr>
                <w:rFonts w:eastAsia="Calibri"/>
              </w:rPr>
              <w:t>- заявка на участие в торговой процедуре подана лицом, не уполномоченным действовать от имени Претендента;</w:t>
            </w:r>
          </w:p>
          <w:p w14:paraId="2CAEB7A4" w14:textId="77777777" w:rsidR="00E228EC" w:rsidRDefault="00E228EC" w:rsidP="00511F0C">
            <w:pPr>
              <w:jc w:val="both"/>
              <w:rPr>
                <w:rFonts w:eastAsia="Calibri"/>
              </w:rPr>
            </w:pPr>
            <w:r w:rsidRPr="00523260">
              <w:rPr>
                <w:rFonts w:eastAsia="Calibri"/>
              </w:rPr>
              <w:t xml:space="preserve">- представлены </w:t>
            </w:r>
            <w:r>
              <w:rPr>
                <w:rFonts w:eastAsia="Calibri"/>
              </w:rPr>
              <w:t xml:space="preserve">не все </w:t>
            </w:r>
            <w:r w:rsidRPr="00523260">
              <w:rPr>
                <w:rFonts w:eastAsia="Calibri"/>
              </w:rPr>
              <w:t>документы, перечисленные в Извещении;</w:t>
            </w:r>
          </w:p>
          <w:p w14:paraId="45C7E2DF" w14:textId="77777777" w:rsidR="00E228EC" w:rsidRPr="00523260" w:rsidRDefault="00E228EC" w:rsidP="00511F0C">
            <w:pPr>
              <w:jc w:val="both"/>
              <w:rPr>
                <w:rFonts w:eastAsia="Calibri"/>
              </w:rPr>
            </w:pPr>
            <w:r w:rsidRPr="001E1331">
              <w:rPr>
                <w:rFonts w:eastAsia="Calibri"/>
              </w:rPr>
              <w:t xml:space="preserve">- представленные Претендентом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w:t>
            </w:r>
            <w:r w:rsidRPr="00523260">
              <w:rPr>
                <w:rFonts w:eastAsia="Calibri"/>
              </w:rPr>
              <w:t>содержащиеся в них, недостоверны;</w:t>
            </w:r>
          </w:p>
          <w:p w14:paraId="20576C1E" w14:textId="77777777" w:rsidR="00E228EC" w:rsidRPr="00523260" w:rsidRDefault="00E228EC" w:rsidP="00511F0C">
            <w:pPr>
              <w:jc w:val="both"/>
              <w:rPr>
                <w:rFonts w:eastAsia="Calibri"/>
              </w:rPr>
            </w:pPr>
            <w:r w:rsidRPr="00523260">
              <w:rPr>
                <w:rFonts w:eastAsia="Calibri"/>
              </w:rPr>
              <w:t>- поступление задатка на один из счетов, указанных в извещении, не подтверждено на момент завершения периода приема задатков;</w:t>
            </w:r>
          </w:p>
          <w:p w14:paraId="54DB6BFA" w14:textId="77777777" w:rsidR="00E228EC" w:rsidRDefault="00E228EC" w:rsidP="00511F0C">
            <w:pPr>
              <w:jc w:val="both"/>
              <w:rPr>
                <w:rFonts w:eastAsia="Calibri"/>
              </w:rPr>
            </w:pPr>
            <w:r w:rsidRPr="00523260">
              <w:rPr>
                <w:rFonts w:eastAsia="Calibri"/>
              </w:rPr>
              <w:t xml:space="preserve">- представленные документы не подтверждают права </w:t>
            </w:r>
            <w:r>
              <w:rPr>
                <w:rFonts w:eastAsia="Calibri"/>
              </w:rPr>
              <w:t>Претендента</w:t>
            </w:r>
            <w:r w:rsidRPr="00523260">
              <w:rPr>
                <w:rFonts w:eastAsia="Calibri"/>
              </w:rPr>
              <w:t xml:space="preserve"> быть покупателем имущества в соответствии с законодательством Российской Федерации;</w:t>
            </w:r>
          </w:p>
          <w:p w14:paraId="00CA2EB0" w14:textId="77777777" w:rsidR="00E228EC" w:rsidRPr="00523260" w:rsidRDefault="00E228EC" w:rsidP="00511F0C">
            <w:pPr>
              <w:jc w:val="both"/>
              <w:rPr>
                <w:rFonts w:eastAsia="Calibri"/>
              </w:rPr>
            </w:pPr>
            <w:r w:rsidRPr="00FA3609">
              <w:rPr>
                <w:rFonts w:eastAsia="Calibri"/>
              </w:rPr>
              <w:t>- не подтверждена правоспособность Претендента</w:t>
            </w:r>
            <w:r w:rsidRPr="00011BBE">
              <w:rPr>
                <w:rFonts w:eastAsia="Calibri"/>
              </w:rPr>
              <w:t>/лиц</w:t>
            </w:r>
            <w:proofErr w:type="gramStart"/>
            <w:r w:rsidRPr="00011BBE">
              <w:rPr>
                <w:rFonts w:eastAsia="Calibri"/>
              </w:rPr>
              <w:t>а</w:t>
            </w:r>
            <w:r>
              <w:rPr>
                <w:rFonts w:eastAsia="Calibri"/>
              </w:rPr>
              <w:t>(</w:t>
            </w:r>
            <w:proofErr w:type="gramEnd"/>
            <w:r>
              <w:rPr>
                <w:rFonts w:eastAsia="Calibri"/>
              </w:rPr>
              <w:t>лиц)</w:t>
            </w:r>
            <w:r w:rsidRPr="00011BBE">
              <w:rPr>
                <w:rFonts w:eastAsia="Calibri"/>
              </w:rPr>
              <w:t>, предоставляющего</w:t>
            </w:r>
            <w:r>
              <w:rPr>
                <w:rFonts w:eastAsia="Calibri"/>
              </w:rPr>
              <w:t xml:space="preserve">(их) </w:t>
            </w:r>
            <w:proofErr w:type="spellStart"/>
            <w:r>
              <w:rPr>
                <w:rFonts w:eastAsia="Calibri"/>
              </w:rPr>
              <w:t>займ</w:t>
            </w:r>
            <w:proofErr w:type="spellEnd"/>
            <w:r>
              <w:rPr>
                <w:rFonts w:eastAsia="Calibri"/>
              </w:rPr>
              <w:t>(</w:t>
            </w:r>
            <w:r w:rsidRPr="00011BBE">
              <w:rPr>
                <w:rFonts w:eastAsia="Calibri"/>
              </w:rPr>
              <w:t>ы) Претендент</w:t>
            </w:r>
            <w:r>
              <w:rPr>
                <w:rFonts w:eastAsia="Calibri"/>
              </w:rPr>
              <w:t>;</w:t>
            </w:r>
          </w:p>
          <w:p w14:paraId="676DD9BF" w14:textId="77777777" w:rsidR="00E228EC" w:rsidRPr="00011BBE" w:rsidRDefault="00E228EC" w:rsidP="00511F0C">
            <w:pPr>
              <w:jc w:val="both"/>
              <w:rPr>
                <w:rFonts w:eastAsia="Calibri"/>
              </w:rPr>
            </w:pPr>
            <w:r w:rsidRPr="00011BBE">
              <w:rPr>
                <w:rFonts w:eastAsia="Calibri"/>
              </w:rPr>
              <w:t>- выявления негативной информации в отношении Претендента/лиц</w:t>
            </w:r>
            <w:proofErr w:type="gramStart"/>
            <w:r w:rsidRPr="00011BBE">
              <w:rPr>
                <w:rFonts w:eastAsia="Calibri"/>
              </w:rPr>
              <w:t>а</w:t>
            </w:r>
            <w:r>
              <w:rPr>
                <w:rFonts w:eastAsia="Calibri"/>
              </w:rPr>
              <w:t>(</w:t>
            </w:r>
            <w:proofErr w:type="gramEnd"/>
            <w:r>
              <w:rPr>
                <w:rFonts w:eastAsia="Calibri"/>
              </w:rPr>
              <w:t>лиц)</w:t>
            </w:r>
            <w:r w:rsidRPr="00011BBE">
              <w:rPr>
                <w:rFonts w:eastAsia="Calibri"/>
              </w:rPr>
              <w:t>, предоставляющего</w:t>
            </w:r>
            <w:r>
              <w:rPr>
                <w:rFonts w:eastAsia="Calibri"/>
              </w:rPr>
              <w:t xml:space="preserve">(их) </w:t>
            </w:r>
            <w:proofErr w:type="spellStart"/>
            <w:r>
              <w:rPr>
                <w:rFonts w:eastAsia="Calibri"/>
              </w:rPr>
              <w:t>займ</w:t>
            </w:r>
            <w:proofErr w:type="spellEnd"/>
            <w:r>
              <w:rPr>
                <w:rFonts w:eastAsia="Calibri"/>
              </w:rPr>
              <w:t>(</w:t>
            </w:r>
            <w:r w:rsidRPr="00011BBE">
              <w:rPr>
                <w:rFonts w:eastAsia="Calibri"/>
              </w:rPr>
              <w:t>ы) Претенденту;</w:t>
            </w:r>
          </w:p>
          <w:p w14:paraId="7C475CFC" w14:textId="77777777" w:rsidR="00E228EC" w:rsidRPr="00FC764A" w:rsidRDefault="00E228EC" w:rsidP="00511F0C">
            <w:pPr>
              <w:jc w:val="both"/>
              <w:rPr>
                <w:rFonts w:eastAsia="Calibri"/>
              </w:rPr>
            </w:pPr>
            <w:r w:rsidRPr="00327C90">
              <w:rPr>
                <w:rFonts w:eastAsia="Calibri"/>
              </w:rPr>
              <w:t>- выявление</w:t>
            </w:r>
            <w:r>
              <w:rPr>
                <w:rFonts w:eastAsia="Calibri"/>
              </w:rPr>
              <w:t xml:space="preserve"> данных об</w:t>
            </w:r>
            <w:r w:rsidRPr="00327C90">
              <w:rPr>
                <w:rFonts w:eastAsia="Calibri"/>
              </w:rPr>
              <w:t xml:space="preserve"> </w:t>
            </w:r>
            <w:proofErr w:type="spellStart"/>
            <w:r w:rsidRPr="00327C90">
              <w:rPr>
                <w:rFonts w:eastAsia="Calibri"/>
              </w:rPr>
              <w:t>аффилированности</w:t>
            </w:r>
            <w:proofErr w:type="spellEnd"/>
            <w:r w:rsidRPr="00327C90">
              <w:rPr>
                <w:rFonts w:eastAsia="Calibri"/>
              </w:rPr>
              <w:t xml:space="preserve"> Претендента/ </w:t>
            </w:r>
            <w:r w:rsidRPr="00011BBE">
              <w:rPr>
                <w:rFonts w:eastAsia="Calibri"/>
              </w:rPr>
              <w:t>лиц</w:t>
            </w:r>
            <w:proofErr w:type="gramStart"/>
            <w:r w:rsidRPr="00011BBE">
              <w:rPr>
                <w:rFonts w:eastAsia="Calibri"/>
              </w:rPr>
              <w:t>а</w:t>
            </w:r>
            <w:r>
              <w:rPr>
                <w:rFonts w:eastAsia="Calibri"/>
              </w:rPr>
              <w:t>(</w:t>
            </w:r>
            <w:proofErr w:type="gramEnd"/>
            <w:r>
              <w:rPr>
                <w:rFonts w:eastAsia="Calibri"/>
              </w:rPr>
              <w:t>лиц)</w:t>
            </w:r>
            <w:r w:rsidRPr="00011BBE">
              <w:rPr>
                <w:rFonts w:eastAsia="Calibri"/>
              </w:rPr>
              <w:t>, предоставляющего</w:t>
            </w:r>
            <w:r>
              <w:rPr>
                <w:rFonts w:eastAsia="Calibri"/>
              </w:rPr>
              <w:t xml:space="preserve">(их) </w:t>
            </w:r>
            <w:proofErr w:type="spellStart"/>
            <w:r>
              <w:rPr>
                <w:rFonts w:eastAsia="Calibri"/>
              </w:rPr>
              <w:t>займ</w:t>
            </w:r>
            <w:proofErr w:type="spellEnd"/>
            <w:r>
              <w:rPr>
                <w:rFonts w:eastAsia="Calibri"/>
              </w:rPr>
              <w:t>(</w:t>
            </w:r>
            <w:r w:rsidRPr="00011BBE">
              <w:rPr>
                <w:rFonts w:eastAsia="Calibri"/>
              </w:rPr>
              <w:t>ы)</w:t>
            </w:r>
            <w:r w:rsidRPr="00FC764A">
              <w:rPr>
                <w:rFonts w:eastAsia="Calibri"/>
              </w:rPr>
              <w:t xml:space="preserve"> Претенденту к Должникам, Принципалу;</w:t>
            </w:r>
          </w:p>
          <w:p w14:paraId="58C72ABA" w14:textId="77777777" w:rsidR="00E228EC" w:rsidRPr="00FC764A" w:rsidRDefault="00E228EC" w:rsidP="00511F0C">
            <w:pPr>
              <w:jc w:val="both"/>
            </w:pPr>
            <w:r w:rsidRPr="00FC764A">
              <w:t>- выявление в числе аффилированных Претенденту лиц заемщиков Принципала;</w:t>
            </w:r>
          </w:p>
          <w:p w14:paraId="6BBF1316" w14:textId="77777777" w:rsidR="00E228EC" w:rsidRPr="00F15D56" w:rsidRDefault="00E228EC" w:rsidP="00511F0C">
            <w:pPr>
              <w:jc w:val="both"/>
              <w:rPr>
                <w:rFonts w:eastAsia="Calibri"/>
              </w:rPr>
            </w:pPr>
            <w:proofErr w:type="gramStart"/>
            <w:r w:rsidRPr="00FC764A">
              <w:rPr>
                <w:rFonts w:eastAsia="Calibri"/>
              </w:rPr>
              <w:t>- выявления инфо</w:t>
            </w:r>
            <w:r w:rsidRPr="00C71891">
              <w:rPr>
                <w:rFonts w:eastAsia="Calibri"/>
              </w:rPr>
              <w:t xml:space="preserve">рмации о возбуждении дела о несостоятельности (банкротстве) Претендента,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w:t>
            </w:r>
            <w:r w:rsidRPr="00F15D56">
              <w:rPr>
                <w:rFonts w:eastAsia="Calibri"/>
              </w:rPr>
              <w:t>Претендента банкротом, отсутствие поданного в арбитражный суд заявления о признании Претендента банкротом;</w:t>
            </w:r>
            <w:proofErr w:type="gramEnd"/>
          </w:p>
          <w:p w14:paraId="1C4C13F4" w14:textId="77777777" w:rsidR="00E228EC" w:rsidRPr="00F15D56" w:rsidRDefault="00E228EC" w:rsidP="00511F0C">
            <w:pPr>
              <w:jc w:val="both"/>
              <w:rPr>
                <w:rFonts w:eastAsia="Calibri"/>
              </w:rPr>
            </w:pPr>
            <w:r w:rsidRPr="00F15D56">
              <w:rPr>
                <w:rFonts w:eastAsia="Calibri"/>
              </w:rPr>
              <w:t>- финансовое состояние Претендента будет признано Принципалом неудовлетворяющим требованиям Принципала к покупателю прав (требований), принадлежащих Принципалу;</w:t>
            </w:r>
          </w:p>
          <w:p w14:paraId="2DA62CEB" w14:textId="77777777" w:rsidR="00E228EC" w:rsidRPr="00F15D56" w:rsidRDefault="00E228EC" w:rsidP="00511F0C">
            <w:pPr>
              <w:jc w:val="both"/>
              <w:rPr>
                <w:rFonts w:eastAsia="Calibri"/>
              </w:rPr>
            </w:pPr>
            <w:r w:rsidRPr="00F15D56">
              <w:rPr>
                <w:rFonts w:eastAsia="Calibri"/>
              </w:rPr>
              <w:t xml:space="preserve">- выявление отрицательной величины чистых активов </w:t>
            </w:r>
            <w:proofErr w:type="gramStart"/>
            <w:r w:rsidRPr="00F15D56">
              <w:rPr>
                <w:rFonts w:eastAsia="Calibri"/>
              </w:rPr>
              <w:t>Претендента-юридического</w:t>
            </w:r>
            <w:proofErr w:type="gramEnd"/>
            <w:r w:rsidRPr="00F15D56">
              <w:rPr>
                <w:rFonts w:eastAsia="Calibri"/>
              </w:rPr>
              <w:t xml:space="preserve"> лица на уровне не менее величины его уставного капитала;</w:t>
            </w:r>
          </w:p>
          <w:p w14:paraId="5B15EC77" w14:textId="77777777" w:rsidR="00E228EC" w:rsidRPr="00F15D56" w:rsidRDefault="00E228EC" w:rsidP="00511F0C">
            <w:pPr>
              <w:jc w:val="both"/>
              <w:rPr>
                <w:rFonts w:eastAsia="Calibri"/>
              </w:rPr>
            </w:pPr>
            <w:r w:rsidRPr="00F15D56">
              <w:rPr>
                <w:rFonts w:eastAsia="Calibri"/>
              </w:rPr>
              <w:t>- выявление информации о незавершенной реорганизации и процедуре ликвидации Претендента – юридического лица;</w:t>
            </w:r>
          </w:p>
          <w:p w14:paraId="731D7ACD" w14:textId="77777777" w:rsidR="00E228EC" w:rsidRPr="00C71891" w:rsidRDefault="00E228EC" w:rsidP="00511F0C">
            <w:pPr>
              <w:jc w:val="both"/>
              <w:rPr>
                <w:rFonts w:eastAsia="Calibri"/>
              </w:rPr>
            </w:pPr>
            <w:r w:rsidRPr="00F15D56">
              <w:rPr>
                <w:rFonts w:eastAsia="Calibri"/>
              </w:rPr>
              <w:t xml:space="preserve">- выявления в отношении Претендента-юридического лица иска/ исков о взыскании, заявлений имущественного </w:t>
            </w:r>
            <w:proofErr w:type="gramStart"/>
            <w:r w:rsidRPr="00F15D56">
              <w:rPr>
                <w:rFonts w:eastAsia="Calibri"/>
              </w:rPr>
              <w:t>характера</w:t>
            </w:r>
            <w:proofErr w:type="gramEnd"/>
            <w:r w:rsidRPr="00F15D56">
              <w:rPr>
                <w:rFonts w:eastAsia="Calibri"/>
              </w:rPr>
              <w:t xml:space="preserve"> в совокупном размере превышающих 5% от размера чистых активов Претендента-юридического лица на последнюю отчетную дату;</w:t>
            </w:r>
          </w:p>
          <w:p w14:paraId="4CFD080D" w14:textId="77777777" w:rsidR="00E228EC" w:rsidRPr="008228B5" w:rsidRDefault="00E228EC" w:rsidP="00511F0C">
            <w:pPr>
              <w:jc w:val="both"/>
              <w:rPr>
                <w:rFonts w:eastAsia="Calibri"/>
              </w:rPr>
            </w:pPr>
            <w:r w:rsidRPr="00C71891">
              <w:rPr>
                <w:rFonts w:eastAsia="Calibri"/>
              </w:rPr>
              <w:t xml:space="preserve">- выявления возбужденных исполнительных производств в отношении </w:t>
            </w:r>
            <w:proofErr w:type="gramStart"/>
            <w:r w:rsidRPr="00C71891">
              <w:rPr>
                <w:rFonts w:eastAsia="Calibri"/>
              </w:rPr>
              <w:t>Претендента-юридического</w:t>
            </w:r>
            <w:proofErr w:type="gramEnd"/>
            <w:r w:rsidRPr="00C71891">
              <w:rPr>
                <w:rFonts w:eastAsia="Calibri"/>
              </w:rPr>
              <w:t xml:space="preserve"> лица</w:t>
            </w:r>
            <w:r w:rsidRPr="008228B5">
              <w:rPr>
                <w:rFonts w:eastAsia="Calibri"/>
              </w:rPr>
              <w:t>, размер которых в совокупности составляет более 5% от размера чистых активов Претендента на последнюю отчетную дату;</w:t>
            </w:r>
          </w:p>
          <w:p w14:paraId="222AC50C" w14:textId="77777777" w:rsidR="00E228EC" w:rsidRPr="008228B5" w:rsidRDefault="00E228EC" w:rsidP="00511F0C">
            <w:pPr>
              <w:jc w:val="both"/>
              <w:rPr>
                <w:rFonts w:eastAsia="Calibri"/>
              </w:rPr>
            </w:pPr>
            <w:r w:rsidRPr="008228B5">
              <w:rPr>
                <w:rFonts w:eastAsia="Calibri"/>
              </w:rPr>
              <w:t xml:space="preserve">- выявление в отношении </w:t>
            </w:r>
            <w:proofErr w:type="gramStart"/>
            <w:r w:rsidRPr="008228B5">
              <w:rPr>
                <w:rFonts w:eastAsia="Calibri"/>
              </w:rPr>
              <w:t>Претендента-физического</w:t>
            </w:r>
            <w:proofErr w:type="gramEnd"/>
            <w:r w:rsidRPr="008228B5">
              <w:rPr>
                <w:rFonts w:eastAsia="Calibri"/>
              </w:rPr>
              <w:t xml:space="preserve">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5DD62D88" w14:textId="77777777" w:rsidR="00E228EC" w:rsidRPr="008228B5" w:rsidRDefault="00E228EC" w:rsidP="00511F0C">
            <w:pPr>
              <w:jc w:val="both"/>
              <w:rPr>
                <w:rFonts w:eastAsia="Calibri"/>
              </w:rPr>
            </w:pPr>
            <w:r w:rsidRPr="008228B5">
              <w:rPr>
                <w:rFonts w:eastAsia="Calibri"/>
              </w:rPr>
              <w:t xml:space="preserve">- выявления в отношении </w:t>
            </w:r>
            <w:proofErr w:type="gramStart"/>
            <w:r w:rsidRPr="008228B5">
              <w:rPr>
                <w:rFonts w:eastAsia="Calibri"/>
              </w:rPr>
              <w:t>Претендента-физического</w:t>
            </w:r>
            <w:proofErr w:type="gramEnd"/>
            <w:r w:rsidRPr="008228B5">
              <w:rPr>
                <w:rFonts w:eastAsia="Calibri"/>
              </w:rPr>
              <w:t xml:space="preserve"> лица возбужденных исполнительных производств;</w:t>
            </w:r>
          </w:p>
          <w:p w14:paraId="7C9DA1E1" w14:textId="77777777" w:rsidR="00E228EC" w:rsidRPr="008228B5" w:rsidRDefault="00E228EC" w:rsidP="00511F0C">
            <w:pPr>
              <w:jc w:val="both"/>
              <w:rPr>
                <w:rFonts w:eastAsia="Calibri"/>
              </w:rPr>
            </w:pPr>
            <w:r w:rsidRPr="008228B5">
              <w:rPr>
                <w:rFonts w:eastAsia="Calibri"/>
              </w:rPr>
              <w:t xml:space="preserve">- выявления поданного в арбитражный суд заявления о признании </w:t>
            </w:r>
            <w:proofErr w:type="gramStart"/>
            <w:r w:rsidRPr="008228B5">
              <w:rPr>
                <w:rFonts w:eastAsia="Calibri"/>
              </w:rPr>
              <w:t>Претендента-физического</w:t>
            </w:r>
            <w:proofErr w:type="gramEnd"/>
            <w:r w:rsidRPr="008228B5">
              <w:rPr>
                <w:rFonts w:eastAsia="Calibri"/>
              </w:rPr>
              <w:t xml:space="preserve"> лица банкротом (в том числе в статусе индивидуального предпринимателя);</w:t>
            </w:r>
          </w:p>
          <w:p w14:paraId="46582F05" w14:textId="77777777" w:rsidR="00E228EC" w:rsidRPr="008228B5" w:rsidRDefault="00E228EC" w:rsidP="00511F0C">
            <w:pPr>
              <w:jc w:val="both"/>
              <w:rPr>
                <w:rFonts w:eastAsia="Calibri"/>
              </w:rPr>
            </w:pPr>
            <w:r w:rsidRPr="008228B5">
              <w:rPr>
                <w:rFonts w:eastAsia="Calibri"/>
              </w:rPr>
              <w:t xml:space="preserve">- выявления вынесенного арбитражным судом определения о принятии заявления о признании </w:t>
            </w:r>
            <w:proofErr w:type="gramStart"/>
            <w:r w:rsidRPr="008228B5">
              <w:rPr>
                <w:rFonts w:eastAsia="Calibri"/>
              </w:rPr>
              <w:t>Претендента-физического</w:t>
            </w:r>
            <w:proofErr w:type="gramEnd"/>
            <w:r w:rsidRPr="008228B5">
              <w:rPr>
                <w:rFonts w:eastAsia="Calibri"/>
              </w:rPr>
              <w:t xml:space="preserve"> лица банкротом (отсутствие возбужденного дела о несостоятельности (банкротстве) гражданина);</w:t>
            </w:r>
          </w:p>
          <w:p w14:paraId="4010BD71" w14:textId="77777777" w:rsidR="00E228EC" w:rsidRPr="008228B5" w:rsidRDefault="00E228EC" w:rsidP="00511F0C">
            <w:pPr>
              <w:jc w:val="both"/>
              <w:rPr>
                <w:rFonts w:eastAsia="Calibri"/>
              </w:rPr>
            </w:pPr>
            <w:r w:rsidRPr="008228B5">
              <w:rPr>
                <w:rFonts w:eastAsia="Calibri"/>
              </w:rPr>
              <w:t xml:space="preserve">- выявления по месту регистрации </w:t>
            </w:r>
            <w:proofErr w:type="gramStart"/>
            <w:r w:rsidRPr="008228B5">
              <w:rPr>
                <w:rFonts w:eastAsia="Calibri"/>
              </w:rPr>
              <w:t>Претендента-физического</w:t>
            </w:r>
            <w:proofErr w:type="gramEnd"/>
            <w:r w:rsidRPr="008228B5">
              <w:rPr>
                <w:rFonts w:eastAsia="Calibri"/>
              </w:rPr>
              <w:t xml:space="preserve"> лица исков о взыскании, заявлений имущественного характера;</w:t>
            </w:r>
          </w:p>
          <w:p w14:paraId="5D405DBC" w14:textId="77777777" w:rsidR="00E228EC" w:rsidRPr="008228B5" w:rsidRDefault="00E228EC" w:rsidP="00511F0C">
            <w:pPr>
              <w:jc w:val="both"/>
              <w:rPr>
                <w:rFonts w:eastAsia="Calibri"/>
              </w:rPr>
            </w:pPr>
            <w:r w:rsidRPr="008228B5">
              <w:rPr>
                <w:rFonts w:eastAsia="Calibri"/>
              </w:rPr>
              <w:t xml:space="preserve">- выявления в отношении </w:t>
            </w:r>
            <w:proofErr w:type="gramStart"/>
            <w:r w:rsidRPr="008228B5">
              <w:rPr>
                <w:rFonts w:eastAsia="Calibri"/>
              </w:rPr>
              <w:t>Претендента-физического</w:t>
            </w:r>
            <w:proofErr w:type="gramEnd"/>
            <w:r w:rsidRPr="008228B5">
              <w:rPr>
                <w:rFonts w:eastAsia="Calibri"/>
              </w:rPr>
              <w:t xml:space="preserve"> лица иных </w:t>
            </w:r>
            <w:proofErr w:type="spellStart"/>
            <w:r w:rsidRPr="008228B5">
              <w:rPr>
                <w:rFonts w:eastAsia="Calibri"/>
              </w:rPr>
              <w:t>правопритязаний</w:t>
            </w:r>
            <w:proofErr w:type="spellEnd"/>
            <w:r w:rsidRPr="008228B5">
              <w:rPr>
                <w:rFonts w:eastAsia="Calibri"/>
              </w:rPr>
              <w:t xml:space="preserve"> третьих лиц к Претенденту-физическому лицу;</w:t>
            </w:r>
          </w:p>
          <w:p w14:paraId="0958CC4B" w14:textId="77777777" w:rsidR="00E228EC" w:rsidRPr="00F15D56" w:rsidRDefault="00E228EC" w:rsidP="00511F0C">
            <w:pPr>
              <w:jc w:val="both"/>
              <w:rPr>
                <w:rFonts w:eastAsia="Calibri"/>
              </w:rPr>
            </w:pPr>
            <w:r w:rsidRPr="008228B5">
              <w:rPr>
                <w:rFonts w:eastAsia="Calibri"/>
              </w:rPr>
              <w:t xml:space="preserve">- выявления просроченной задолженности </w:t>
            </w:r>
            <w:proofErr w:type="gramStart"/>
            <w:r w:rsidRPr="008228B5">
              <w:rPr>
                <w:rFonts w:eastAsia="Calibri"/>
              </w:rPr>
              <w:t>Претендента-физического</w:t>
            </w:r>
            <w:proofErr w:type="gramEnd"/>
            <w:r w:rsidRPr="008228B5">
              <w:rPr>
                <w:rFonts w:eastAsia="Calibri"/>
              </w:rPr>
              <w:t xml:space="preserve"> лица по обязательствам кредитного характера перед кредитными организациями и третьими лицами (</w:t>
            </w:r>
            <w:r w:rsidRPr="00F15D56">
              <w:rPr>
                <w:rFonts w:eastAsia="Calibri"/>
              </w:rPr>
              <w:t>подтверждается ответом или кредитным отчетом из Бюро кредитных историй);</w:t>
            </w:r>
          </w:p>
          <w:p w14:paraId="2EA2084D" w14:textId="77777777" w:rsidR="00E228EC" w:rsidRPr="006A238A" w:rsidRDefault="00E228EC" w:rsidP="00511F0C">
            <w:pPr>
              <w:jc w:val="both"/>
              <w:rPr>
                <w:rFonts w:eastAsia="Calibri"/>
                <w:highlight w:val="yellow"/>
              </w:rPr>
            </w:pPr>
            <w:r w:rsidRPr="00F15D56">
              <w:rPr>
                <w:rFonts w:eastAsia="Calibri"/>
              </w:rPr>
              <w:t xml:space="preserve">- в случае финансирования </w:t>
            </w:r>
            <w:proofErr w:type="gramStart"/>
            <w:r w:rsidRPr="00F15D56">
              <w:rPr>
                <w:rFonts w:eastAsia="Calibri"/>
              </w:rPr>
              <w:t>Претендента-юридическим</w:t>
            </w:r>
            <w:proofErr w:type="gramEnd"/>
            <w:r w:rsidRPr="00F15D56">
              <w:rPr>
                <w:rFonts w:eastAsia="Calibri"/>
              </w:rPr>
              <w:t xml:space="preserve"> лицом договора уступки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F15D56">
              <w:rPr>
                <w:rFonts w:eastAsia="Calibri"/>
              </w:rPr>
              <w:t>(Собственные средства (стр.1300) + Долгосрочные обязательства (стр.1400)) – ((</w:t>
            </w:r>
            <w:proofErr w:type="spellStart"/>
            <w:r w:rsidRPr="00F15D56">
              <w:rPr>
                <w:rFonts w:eastAsia="Calibri"/>
              </w:rPr>
              <w:t>Внеоборотные</w:t>
            </w:r>
            <w:proofErr w:type="spellEnd"/>
            <w:r w:rsidRPr="00F15D56">
              <w:rPr>
                <w:rFonts w:eastAsia="Calibri"/>
              </w:rPr>
              <w:t xml:space="preserve"> активы (стр.1100) + краткосрочные финансовые вложения (стр.1240) + дебиторская задолженность (на инвестиционные цели) (стр.1230)).</w:t>
            </w:r>
            <w:bookmarkEnd w:id="8"/>
            <w:bookmarkEnd w:id="9"/>
            <w:proofErr w:type="gramEnd"/>
          </w:p>
        </w:tc>
      </w:tr>
      <w:tr w:rsidR="00E228EC" w:rsidRPr="006A238A" w14:paraId="2A4D7DF7" w14:textId="77777777" w:rsidTr="00511F0C">
        <w:trPr>
          <w:trHeight w:val="77"/>
        </w:trPr>
        <w:tc>
          <w:tcPr>
            <w:tcW w:w="2891" w:type="dxa"/>
            <w:shd w:val="clear" w:color="auto" w:fill="auto"/>
          </w:tcPr>
          <w:p w14:paraId="4741B794" w14:textId="77777777" w:rsidR="00E228EC" w:rsidRPr="00413AF0" w:rsidRDefault="00E228EC" w:rsidP="00511F0C">
            <w:pPr>
              <w:rPr>
                <w:rFonts w:eastAsia="Calibri"/>
                <w:b/>
              </w:rPr>
            </w:pPr>
            <w:r w:rsidRPr="00413AF0">
              <w:rPr>
                <w:rFonts w:eastAsia="Calibri"/>
              </w:rPr>
              <w:t>Критерии определения Победителя торговой процедуры в форме аукциона «на повышение»</w:t>
            </w:r>
          </w:p>
        </w:tc>
        <w:tc>
          <w:tcPr>
            <w:tcW w:w="6323" w:type="dxa"/>
            <w:shd w:val="clear" w:color="auto" w:fill="auto"/>
          </w:tcPr>
          <w:p w14:paraId="3F2C8740" w14:textId="77777777" w:rsidR="00E228EC" w:rsidRPr="00413AF0" w:rsidRDefault="00E228EC" w:rsidP="00511F0C">
            <w:pPr>
              <w:jc w:val="both"/>
              <w:rPr>
                <w:rFonts w:eastAsia="Calibri"/>
              </w:rPr>
            </w:pPr>
            <w:r w:rsidRPr="00413AF0">
              <w:rPr>
                <w:rFonts w:eastAsia="Calibri"/>
              </w:rPr>
              <w:t>Победителем признается участник аукциона, предложивший наиболее высокую цену за права (требования) Принципала.</w:t>
            </w:r>
          </w:p>
        </w:tc>
      </w:tr>
      <w:tr w:rsidR="00E228EC" w:rsidRPr="006A238A" w14:paraId="19C93AC3" w14:textId="77777777" w:rsidTr="00511F0C">
        <w:trPr>
          <w:trHeight w:val="70"/>
        </w:trPr>
        <w:tc>
          <w:tcPr>
            <w:tcW w:w="2891" w:type="dxa"/>
            <w:shd w:val="clear" w:color="auto" w:fill="auto"/>
          </w:tcPr>
          <w:p w14:paraId="79E62CCA" w14:textId="77777777" w:rsidR="00E228EC" w:rsidRPr="006A238A" w:rsidRDefault="00E228EC" w:rsidP="00511F0C">
            <w:pPr>
              <w:rPr>
                <w:rFonts w:eastAsia="Calibri"/>
                <w:highlight w:val="yellow"/>
              </w:rPr>
            </w:pPr>
            <w:r w:rsidRPr="0064241A">
              <w:rPr>
                <w:rFonts w:eastAsia="Calibri"/>
              </w:rPr>
              <w:t>Порядок заключения договора уступки прав (требований)</w:t>
            </w:r>
          </w:p>
        </w:tc>
        <w:tc>
          <w:tcPr>
            <w:tcW w:w="6323" w:type="dxa"/>
            <w:shd w:val="clear" w:color="auto" w:fill="auto"/>
          </w:tcPr>
          <w:p w14:paraId="0E514D34" w14:textId="77777777" w:rsidR="00E228EC" w:rsidRPr="006A238A" w:rsidRDefault="00E228EC" w:rsidP="00511F0C">
            <w:pPr>
              <w:jc w:val="both"/>
              <w:rPr>
                <w:rFonts w:eastAsia="Calibri"/>
                <w:highlight w:val="yellow"/>
              </w:rPr>
            </w:pPr>
            <w:bookmarkStart w:id="10" w:name="OLE_LINK202"/>
            <w:r w:rsidRPr="00F15D56">
              <w:rPr>
                <w:rFonts w:eastAsia="Calibri"/>
              </w:rPr>
              <w:t xml:space="preserve">Заключение договора </w:t>
            </w:r>
            <w:bookmarkStart w:id="11" w:name="OLE_LINK201"/>
            <w:r w:rsidRPr="00F15D56">
              <w:rPr>
                <w:rFonts w:eastAsia="Calibri"/>
              </w:rPr>
              <w:t>уступки прав (требований)</w:t>
            </w:r>
            <w:bookmarkEnd w:id="11"/>
            <w:r w:rsidRPr="00F15D56">
              <w:rPr>
                <w:rFonts w:eastAsia="Calibri"/>
              </w:rPr>
              <w:t xml:space="preserve"> между Принципалом и Победителем аукциона «на повышение»» осуществляется в течение 5 (пяти) рабочих дней со дня</w:t>
            </w:r>
            <w:r>
              <w:rPr>
                <w:rFonts w:eastAsia="Calibri"/>
              </w:rPr>
              <w:t xml:space="preserve"> подписания протокола об итогах торгов организатором торгов.</w:t>
            </w:r>
          </w:p>
          <w:bookmarkEnd w:id="10"/>
          <w:p w14:paraId="600B7544" w14:textId="77777777" w:rsidR="00E228EC" w:rsidRDefault="00E228EC" w:rsidP="00511F0C">
            <w:pPr>
              <w:jc w:val="both"/>
              <w:rPr>
                <w:rFonts w:eastAsia="Calibri"/>
              </w:rPr>
            </w:pPr>
            <w:r w:rsidRPr="000E6854">
              <w:rPr>
                <w:rFonts w:eastAsia="Calibri"/>
              </w:rPr>
              <w:t xml:space="preserve">Если Победитель Торговой процедуры в установленный срок не подпишет договор </w:t>
            </w:r>
            <w:r w:rsidRPr="00F15D56">
              <w:rPr>
                <w:rFonts w:eastAsia="Calibri"/>
              </w:rPr>
              <w:t xml:space="preserve">уступки </w:t>
            </w:r>
            <w:r w:rsidRPr="000E6854">
              <w:rPr>
                <w:rFonts w:eastAsia="Calibri"/>
              </w:rPr>
              <w:t>прав (требований), Принципал имеет право в дальнейшем отказать ему в заключени</w:t>
            </w:r>
            <w:proofErr w:type="gramStart"/>
            <w:r w:rsidRPr="000E6854">
              <w:rPr>
                <w:rFonts w:eastAsia="Calibri"/>
              </w:rPr>
              <w:t>и</w:t>
            </w:r>
            <w:proofErr w:type="gramEnd"/>
            <w:r w:rsidRPr="000E6854">
              <w:rPr>
                <w:rFonts w:eastAsia="Calibri"/>
              </w:rPr>
              <w:t xml:space="preserve"> договора </w:t>
            </w:r>
            <w:r w:rsidRPr="00F15D56">
              <w:rPr>
                <w:rFonts w:eastAsia="Calibri"/>
              </w:rPr>
              <w:t xml:space="preserve">уступки </w:t>
            </w:r>
            <w:r w:rsidRPr="000E6854">
              <w:rPr>
                <w:rFonts w:eastAsia="Calibri"/>
              </w:rPr>
              <w:t xml:space="preserve">прав (требований) либо обратиться в суд с требованием о понуждении заключить договор </w:t>
            </w:r>
            <w:r w:rsidRPr="00F15D56">
              <w:rPr>
                <w:rFonts w:eastAsia="Calibri"/>
              </w:rPr>
              <w:t xml:space="preserve">уступки </w:t>
            </w:r>
            <w:r w:rsidRPr="000E6854">
              <w:rPr>
                <w:rFonts w:eastAsia="Calibri"/>
              </w:rPr>
              <w:t>прав (требований), а также о возмещении убытков, причиненных уклонением от его заключения.</w:t>
            </w:r>
          </w:p>
          <w:p w14:paraId="329EA671" w14:textId="77777777" w:rsidR="00E228EC" w:rsidRDefault="00E228EC" w:rsidP="00511F0C">
            <w:pPr>
              <w:jc w:val="both"/>
              <w:rPr>
                <w:rFonts w:eastAsia="Calibri"/>
              </w:rPr>
            </w:pPr>
            <w:r w:rsidRPr="00232AF2">
              <w:rPr>
                <w:rFonts w:eastAsia="Calibri"/>
              </w:rPr>
              <w:t>В с</w:t>
            </w:r>
            <w:r>
              <w:rPr>
                <w:rFonts w:eastAsia="Calibri"/>
              </w:rPr>
              <w:t xml:space="preserve">лучае </w:t>
            </w:r>
            <w:proofErr w:type="spellStart"/>
            <w:r>
              <w:rPr>
                <w:rFonts w:eastAsia="Calibri"/>
              </w:rPr>
              <w:t>незаключения</w:t>
            </w:r>
            <w:proofErr w:type="spellEnd"/>
            <w:r>
              <w:rPr>
                <w:rFonts w:eastAsia="Calibri"/>
              </w:rPr>
              <w:t>/расторжения д</w:t>
            </w:r>
            <w:r w:rsidRPr="00232AF2">
              <w:rPr>
                <w:rFonts w:eastAsia="Calibri"/>
              </w:rPr>
              <w:t xml:space="preserve">оговора </w:t>
            </w:r>
            <w:r w:rsidRPr="00F15D56">
              <w:rPr>
                <w:rFonts w:eastAsia="Calibri"/>
              </w:rPr>
              <w:t xml:space="preserve">уступки </w:t>
            </w:r>
            <w:r w:rsidRPr="00232AF2">
              <w:rPr>
                <w:rFonts w:eastAsia="Calibri"/>
              </w:rPr>
              <w:t xml:space="preserve">прав (требований) проводятся мероприятия по заключению </w:t>
            </w:r>
            <w:r>
              <w:rPr>
                <w:rFonts w:eastAsia="Calibri"/>
              </w:rPr>
              <w:t>д</w:t>
            </w:r>
            <w:r w:rsidRPr="00232AF2">
              <w:rPr>
                <w:rFonts w:eastAsia="Calibri"/>
              </w:rPr>
              <w:t xml:space="preserve">оговора </w:t>
            </w:r>
            <w:r w:rsidRPr="00F15D56">
              <w:rPr>
                <w:rFonts w:eastAsia="Calibri"/>
              </w:rPr>
              <w:t xml:space="preserve">уступки </w:t>
            </w:r>
            <w:r w:rsidRPr="00232AF2">
              <w:rPr>
                <w:rFonts w:eastAsia="Calibri"/>
              </w:rPr>
              <w:t xml:space="preserve">прав (требований) с другим Претендентом состоявшейся Торговой процедуры. Договор </w:t>
            </w:r>
            <w:r w:rsidRPr="00F15D56">
              <w:rPr>
                <w:rFonts w:eastAsia="Calibri"/>
              </w:rPr>
              <w:t xml:space="preserve">уступки </w:t>
            </w:r>
            <w:r w:rsidRPr="00232AF2">
              <w:rPr>
                <w:rFonts w:eastAsia="Calibri"/>
              </w:rPr>
              <w:t>прав (требований) заключается с Претендентом, предложившим следующую за Победителем Торговой процедуры лучшую цену</w:t>
            </w:r>
            <w:r>
              <w:rPr>
                <w:rFonts w:eastAsia="Calibri"/>
              </w:rPr>
              <w:t xml:space="preserve"> и соответствующей требованиям Принципала</w:t>
            </w:r>
            <w:r w:rsidRPr="00232AF2">
              <w:rPr>
                <w:rFonts w:eastAsia="Calibri"/>
              </w:rPr>
              <w:t>.</w:t>
            </w:r>
          </w:p>
          <w:p w14:paraId="0B6416BE" w14:textId="77777777" w:rsidR="00E228EC" w:rsidRPr="000E6854" w:rsidRDefault="00E228EC" w:rsidP="00511F0C">
            <w:pPr>
              <w:jc w:val="both"/>
              <w:rPr>
                <w:rFonts w:eastAsia="Calibri"/>
              </w:rPr>
            </w:pPr>
            <w:bookmarkStart w:id="12" w:name="OLE_LINK204"/>
            <w:r w:rsidRPr="00517769">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w:t>
            </w:r>
            <w:r>
              <w:rPr>
                <w:rFonts w:eastAsia="Calibri"/>
              </w:rPr>
              <w:t xml:space="preserve">Принципал вправе заключить </w:t>
            </w:r>
            <w:r w:rsidRPr="00517769">
              <w:rPr>
                <w:rFonts w:eastAsia="Calibri"/>
              </w:rPr>
              <w:t xml:space="preserve">договор уступки прав (требований) </w:t>
            </w:r>
            <w:r>
              <w:rPr>
                <w:rFonts w:eastAsia="Calibri"/>
              </w:rPr>
              <w:t>с</w:t>
            </w:r>
            <w:r w:rsidRPr="00517769">
              <w:rPr>
                <w:rFonts w:eastAsia="Calibri"/>
              </w:rPr>
              <w:t xml:space="preserve"> единственным участником </w:t>
            </w:r>
            <w:r w:rsidRPr="00D86199">
              <w:rPr>
                <w:rFonts w:eastAsia="Calibri"/>
              </w:rPr>
              <w:t>аукциона по начальной цене реализации лота, если указанная заявка соответствует</w:t>
            </w:r>
            <w:r w:rsidRPr="001A497F">
              <w:rPr>
                <w:rFonts w:eastAsia="Calibri"/>
              </w:rPr>
              <w:t xml:space="preserve"> требованиям и условиям, предусмотренным торговой (аукционной) документацией</w:t>
            </w:r>
            <w:r>
              <w:rPr>
                <w:rFonts w:eastAsia="Calibri"/>
              </w:rPr>
              <w:t>.</w:t>
            </w:r>
            <w:bookmarkEnd w:id="12"/>
          </w:p>
        </w:tc>
      </w:tr>
      <w:tr w:rsidR="00E228EC" w:rsidRPr="00FA3609" w14:paraId="537F0C19" w14:textId="77777777" w:rsidTr="00511F0C">
        <w:trPr>
          <w:trHeight w:val="132"/>
        </w:trPr>
        <w:tc>
          <w:tcPr>
            <w:tcW w:w="2891" w:type="dxa"/>
            <w:shd w:val="clear" w:color="auto" w:fill="auto"/>
          </w:tcPr>
          <w:p w14:paraId="57E0061B" w14:textId="77777777" w:rsidR="00E228EC" w:rsidRPr="00132DC1" w:rsidRDefault="00E228EC" w:rsidP="00511F0C">
            <w:pPr>
              <w:rPr>
                <w:rFonts w:eastAsia="Calibri"/>
              </w:rPr>
            </w:pPr>
            <w:r w:rsidRPr="00132DC1">
              <w:rPr>
                <w:rFonts w:eastAsia="Calibri"/>
              </w:rPr>
              <w:t>Состав Комиссии Принципала по проведению Торговых процедур</w:t>
            </w:r>
          </w:p>
        </w:tc>
        <w:tc>
          <w:tcPr>
            <w:tcW w:w="6323" w:type="dxa"/>
            <w:shd w:val="clear" w:color="auto" w:fill="auto"/>
          </w:tcPr>
          <w:p w14:paraId="48572DA6" w14:textId="77777777" w:rsidR="00E228EC" w:rsidRPr="00132DC1" w:rsidRDefault="00E228EC" w:rsidP="00511F0C">
            <w:pPr>
              <w:jc w:val="both"/>
              <w:rPr>
                <w:rFonts w:eastAsia="Calibri"/>
              </w:rPr>
            </w:pPr>
            <w:r w:rsidRPr="00132DC1">
              <w:rPr>
                <w:rFonts w:eastAsia="Calibri"/>
              </w:rPr>
              <w:t>В состав Комиссии по проведению Торговых процедур в обязательном порядке входят: руководители следующих подразделений Сахалинского регионального филиала АО «</w:t>
            </w:r>
            <w:proofErr w:type="spellStart"/>
            <w:r w:rsidRPr="00132DC1">
              <w:rPr>
                <w:rFonts w:eastAsia="Calibri"/>
              </w:rPr>
              <w:t>Россельхозбанк</w:t>
            </w:r>
            <w:proofErr w:type="spellEnd"/>
            <w:r w:rsidRPr="00132DC1">
              <w:rPr>
                <w:rFonts w:eastAsia="Calibri"/>
              </w:rPr>
              <w:t xml:space="preserve">»: председатель Комиссии </w:t>
            </w:r>
            <w:proofErr w:type="gramStart"/>
            <w:r w:rsidRPr="00132DC1">
              <w:rPr>
                <w:rFonts w:eastAsia="Calibri"/>
              </w:rPr>
              <w:t>–Д</w:t>
            </w:r>
            <w:proofErr w:type="gramEnd"/>
            <w:r w:rsidRPr="00132DC1">
              <w:rPr>
                <w:rFonts w:eastAsia="Calibri"/>
              </w:rPr>
              <w:t xml:space="preserve">иректор Сахалинского РФ Гурьянов М.А., члены Комиссии – </w:t>
            </w:r>
            <w:proofErr w:type="spellStart"/>
            <w:r w:rsidRPr="00132DC1">
              <w:rPr>
                <w:rFonts w:eastAsia="Calibri"/>
              </w:rPr>
              <w:t>и.о</w:t>
            </w:r>
            <w:proofErr w:type="spellEnd"/>
            <w:r w:rsidRPr="00132DC1">
              <w:rPr>
                <w:rFonts w:eastAsia="Calibri"/>
              </w:rPr>
              <w:t xml:space="preserve">. начальника Службы по работе с проблемными активами </w:t>
            </w:r>
            <w:proofErr w:type="spellStart"/>
            <w:r w:rsidRPr="00132DC1">
              <w:rPr>
                <w:rFonts w:eastAsia="Calibri"/>
              </w:rPr>
              <w:t>Евсейченко</w:t>
            </w:r>
            <w:proofErr w:type="spellEnd"/>
            <w:r w:rsidRPr="00132DC1">
              <w:rPr>
                <w:rFonts w:eastAsia="Calibri"/>
              </w:rPr>
              <w:t xml:space="preserve"> Т.А., </w:t>
            </w:r>
            <w:proofErr w:type="spellStart"/>
            <w:r w:rsidRPr="00132DC1">
              <w:rPr>
                <w:rFonts w:eastAsia="Calibri"/>
              </w:rPr>
              <w:t>и.о</w:t>
            </w:r>
            <w:proofErr w:type="spellEnd"/>
            <w:r w:rsidRPr="00132DC1">
              <w:rPr>
                <w:rFonts w:eastAsia="Calibri"/>
              </w:rPr>
              <w:t xml:space="preserve">. начальника Отдела по работе с обеспечением исполнения обязательств Коробов Г.А., начальник Службы безопасности Березовский В.П., начальник Юридической службы </w:t>
            </w:r>
            <w:proofErr w:type="spellStart"/>
            <w:r w:rsidRPr="00132DC1">
              <w:rPr>
                <w:rFonts w:eastAsia="Calibri"/>
              </w:rPr>
              <w:t>Красуцкая</w:t>
            </w:r>
            <w:proofErr w:type="spellEnd"/>
            <w:r w:rsidRPr="00132DC1">
              <w:rPr>
                <w:rFonts w:eastAsia="Calibri"/>
              </w:rPr>
              <w:t xml:space="preserve"> И.А. </w:t>
            </w:r>
          </w:p>
        </w:tc>
      </w:tr>
    </w:tbl>
    <w:p w14:paraId="5343E51B" w14:textId="77777777" w:rsidR="00E638E4" w:rsidRDefault="00E638E4" w:rsidP="003214BC">
      <w:pPr>
        <w:rPr>
          <w:rFonts w:eastAsia="Calibri"/>
          <w:sz w:val="22"/>
          <w:szCs w:val="22"/>
          <w:lang w:eastAsia="en-US"/>
        </w:rPr>
      </w:pPr>
    </w:p>
    <w:p w14:paraId="44E158B4" w14:textId="77777777" w:rsidR="009A48C4" w:rsidRDefault="009A48C4" w:rsidP="00B61CE1">
      <w:pPr>
        <w:jc w:val="right"/>
        <w:rPr>
          <w:rFonts w:eastAsia="Calibri"/>
          <w:sz w:val="22"/>
          <w:szCs w:val="22"/>
          <w:lang w:eastAsia="en-US"/>
        </w:rPr>
      </w:pPr>
    </w:p>
    <w:p w14:paraId="1414BBF3" w14:textId="77777777" w:rsidR="009A48C4" w:rsidRDefault="009A48C4" w:rsidP="00B61CE1">
      <w:pPr>
        <w:jc w:val="right"/>
        <w:rPr>
          <w:rFonts w:eastAsia="Calibri"/>
          <w:sz w:val="22"/>
          <w:szCs w:val="22"/>
          <w:lang w:eastAsia="en-US"/>
        </w:rPr>
      </w:pPr>
    </w:p>
    <w:p w14:paraId="7A7B027C" w14:textId="77777777" w:rsidR="009A48C4" w:rsidRDefault="009A48C4" w:rsidP="00B61CE1">
      <w:pPr>
        <w:jc w:val="right"/>
        <w:rPr>
          <w:rFonts w:eastAsia="Calibri"/>
          <w:sz w:val="22"/>
          <w:szCs w:val="22"/>
          <w:lang w:eastAsia="en-US"/>
        </w:rPr>
      </w:pPr>
    </w:p>
    <w:p w14:paraId="5C1B4B80" w14:textId="77777777" w:rsidR="009A48C4" w:rsidRDefault="009A48C4" w:rsidP="00B61CE1">
      <w:pPr>
        <w:jc w:val="right"/>
        <w:rPr>
          <w:rFonts w:eastAsia="Calibri"/>
          <w:sz w:val="22"/>
          <w:szCs w:val="22"/>
          <w:lang w:eastAsia="en-US"/>
        </w:rPr>
      </w:pPr>
    </w:p>
    <w:p w14:paraId="30FF194E" w14:textId="77777777" w:rsidR="009A48C4" w:rsidRDefault="009A48C4" w:rsidP="00C470A9">
      <w:pPr>
        <w:rPr>
          <w:rFonts w:eastAsia="Calibri"/>
          <w:sz w:val="22"/>
          <w:szCs w:val="22"/>
          <w:lang w:eastAsia="en-US"/>
        </w:rPr>
      </w:pPr>
    </w:p>
    <w:p w14:paraId="40F328BF" w14:textId="77777777" w:rsidR="00C470A9" w:rsidRDefault="00C470A9" w:rsidP="00C470A9">
      <w:pPr>
        <w:rPr>
          <w:rFonts w:eastAsia="Calibri"/>
          <w:sz w:val="22"/>
          <w:szCs w:val="22"/>
          <w:lang w:eastAsia="en-US"/>
        </w:rPr>
      </w:pPr>
    </w:p>
    <w:p w14:paraId="457A80AE" w14:textId="77777777" w:rsidR="009A48C4" w:rsidRDefault="009A48C4" w:rsidP="00B61CE1">
      <w:pPr>
        <w:jc w:val="right"/>
        <w:rPr>
          <w:rFonts w:eastAsia="Calibri"/>
          <w:sz w:val="22"/>
          <w:szCs w:val="22"/>
          <w:lang w:eastAsia="en-US"/>
        </w:rPr>
      </w:pPr>
    </w:p>
    <w:p w14:paraId="07A767A9" w14:textId="77777777" w:rsidR="009A48C4" w:rsidRDefault="009A48C4" w:rsidP="00B61CE1">
      <w:pPr>
        <w:jc w:val="right"/>
        <w:rPr>
          <w:rFonts w:eastAsia="Calibri"/>
          <w:sz w:val="22"/>
          <w:szCs w:val="22"/>
          <w:lang w:eastAsia="en-US"/>
        </w:rPr>
      </w:pPr>
    </w:p>
    <w:p w14:paraId="48160F57" w14:textId="77777777" w:rsidR="006C1CFA" w:rsidRDefault="006C1CFA" w:rsidP="00B61CE1">
      <w:pPr>
        <w:jc w:val="right"/>
        <w:rPr>
          <w:rFonts w:eastAsia="Calibri"/>
          <w:sz w:val="22"/>
          <w:szCs w:val="22"/>
          <w:lang w:eastAsia="en-US"/>
        </w:rPr>
      </w:pPr>
    </w:p>
    <w:p w14:paraId="11575912" w14:textId="77777777" w:rsidR="006C1CFA" w:rsidRDefault="006C1CFA" w:rsidP="00B61CE1">
      <w:pPr>
        <w:jc w:val="right"/>
        <w:rPr>
          <w:rFonts w:eastAsia="Calibri"/>
          <w:sz w:val="22"/>
          <w:szCs w:val="22"/>
          <w:lang w:eastAsia="en-US"/>
        </w:rPr>
      </w:pPr>
    </w:p>
    <w:p w14:paraId="5F00C08F" w14:textId="77777777" w:rsidR="006C1CFA" w:rsidRDefault="006C1CFA" w:rsidP="00B61CE1">
      <w:pPr>
        <w:jc w:val="right"/>
        <w:rPr>
          <w:rFonts w:eastAsia="Calibri"/>
          <w:sz w:val="22"/>
          <w:szCs w:val="22"/>
          <w:lang w:eastAsia="en-US"/>
        </w:rPr>
      </w:pPr>
    </w:p>
    <w:p w14:paraId="3AE8108E" w14:textId="77777777" w:rsidR="006C1CFA" w:rsidRDefault="006C1CFA" w:rsidP="00B61CE1">
      <w:pPr>
        <w:jc w:val="right"/>
        <w:rPr>
          <w:rFonts w:eastAsia="Calibri"/>
          <w:sz w:val="22"/>
          <w:szCs w:val="22"/>
          <w:lang w:eastAsia="en-US"/>
        </w:rPr>
      </w:pPr>
    </w:p>
    <w:p w14:paraId="73CFF2EC" w14:textId="77777777" w:rsidR="006C1CFA" w:rsidRDefault="006C1CFA" w:rsidP="00B61CE1">
      <w:pPr>
        <w:jc w:val="right"/>
        <w:rPr>
          <w:rFonts w:eastAsia="Calibri"/>
          <w:sz w:val="22"/>
          <w:szCs w:val="22"/>
          <w:lang w:eastAsia="en-US"/>
        </w:rPr>
      </w:pPr>
    </w:p>
    <w:p w14:paraId="0BA731B0" w14:textId="77777777" w:rsidR="006C1CFA" w:rsidRDefault="006C1CFA" w:rsidP="00B61CE1">
      <w:pPr>
        <w:jc w:val="right"/>
        <w:rPr>
          <w:rFonts w:eastAsia="Calibri"/>
          <w:sz w:val="22"/>
          <w:szCs w:val="22"/>
          <w:lang w:eastAsia="en-US"/>
        </w:rPr>
      </w:pPr>
    </w:p>
    <w:p w14:paraId="2829DA6C" w14:textId="77777777" w:rsidR="006C1CFA" w:rsidRDefault="006C1CFA" w:rsidP="00B61CE1">
      <w:pPr>
        <w:jc w:val="right"/>
        <w:rPr>
          <w:rFonts w:eastAsia="Calibri"/>
          <w:sz w:val="22"/>
          <w:szCs w:val="22"/>
          <w:lang w:eastAsia="en-US"/>
        </w:rPr>
      </w:pPr>
    </w:p>
    <w:p w14:paraId="68AD1E86" w14:textId="77777777" w:rsidR="006C1CFA" w:rsidRDefault="006C1CFA" w:rsidP="00B61CE1">
      <w:pPr>
        <w:jc w:val="right"/>
        <w:rPr>
          <w:rFonts w:eastAsia="Calibri"/>
          <w:sz w:val="22"/>
          <w:szCs w:val="22"/>
          <w:lang w:eastAsia="en-US"/>
        </w:rPr>
      </w:pPr>
    </w:p>
    <w:p w14:paraId="5478EAD9" w14:textId="77777777" w:rsidR="006C1CFA" w:rsidRDefault="006C1CFA" w:rsidP="00B61CE1">
      <w:pPr>
        <w:jc w:val="right"/>
        <w:rPr>
          <w:rFonts w:eastAsia="Calibri"/>
          <w:sz w:val="22"/>
          <w:szCs w:val="22"/>
          <w:lang w:eastAsia="en-US"/>
        </w:rPr>
      </w:pPr>
    </w:p>
    <w:p w14:paraId="3DD65D73" w14:textId="77777777" w:rsidR="006C1CFA" w:rsidRDefault="006C1CFA" w:rsidP="00B61CE1">
      <w:pPr>
        <w:jc w:val="right"/>
        <w:rPr>
          <w:rFonts w:eastAsia="Calibri"/>
          <w:sz w:val="22"/>
          <w:szCs w:val="22"/>
          <w:lang w:eastAsia="en-US"/>
        </w:rPr>
      </w:pPr>
    </w:p>
    <w:p w14:paraId="63CBDDB7" w14:textId="77777777" w:rsidR="006C1CFA" w:rsidRDefault="006C1CFA" w:rsidP="00B61CE1">
      <w:pPr>
        <w:jc w:val="right"/>
        <w:rPr>
          <w:rFonts w:eastAsia="Calibri"/>
          <w:sz w:val="22"/>
          <w:szCs w:val="22"/>
          <w:lang w:eastAsia="en-US"/>
        </w:rPr>
      </w:pPr>
    </w:p>
    <w:p w14:paraId="1F05A6A0" w14:textId="77777777" w:rsidR="006C1CFA" w:rsidRDefault="006C1CFA" w:rsidP="00B61CE1">
      <w:pPr>
        <w:jc w:val="right"/>
        <w:rPr>
          <w:rFonts w:eastAsia="Calibri"/>
          <w:sz w:val="22"/>
          <w:szCs w:val="22"/>
          <w:lang w:eastAsia="en-US"/>
        </w:rPr>
      </w:pPr>
    </w:p>
    <w:p w14:paraId="36D6063E" w14:textId="77777777" w:rsidR="006C1CFA" w:rsidRDefault="006C1CFA" w:rsidP="00B61CE1">
      <w:pPr>
        <w:jc w:val="right"/>
        <w:rPr>
          <w:rFonts w:eastAsia="Calibri"/>
          <w:sz w:val="22"/>
          <w:szCs w:val="22"/>
          <w:lang w:eastAsia="en-US"/>
        </w:rPr>
      </w:pPr>
    </w:p>
    <w:p w14:paraId="4BBA4241" w14:textId="77777777" w:rsidR="006C1CFA" w:rsidRDefault="006C1CFA" w:rsidP="00B61CE1">
      <w:pPr>
        <w:jc w:val="right"/>
        <w:rPr>
          <w:rFonts w:eastAsia="Calibri"/>
          <w:sz w:val="22"/>
          <w:szCs w:val="22"/>
          <w:lang w:eastAsia="en-US"/>
        </w:rPr>
      </w:pPr>
    </w:p>
    <w:p w14:paraId="438C8743" w14:textId="77777777" w:rsidR="006C1CFA" w:rsidRDefault="006C1CFA" w:rsidP="00B61CE1">
      <w:pPr>
        <w:jc w:val="right"/>
        <w:rPr>
          <w:rFonts w:eastAsia="Calibri"/>
          <w:sz w:val="22"/>
          <w:szCs w:val="22"/>
          <w:lang w:eastAsia="en-US"/>
        </w:rPr>
      </w:pPr>
    </w:p>
    <w:p w14:paraId="012DF268" w14:textId="77777777" w:rsidR="006C1CFA" w:rsidRDefault="006C1CFA" w:rsidP="00B61CE1">
      <w:pPr>
        <w:jc w:val="right"/>
        <w:rPr>
          <w:rFonts w:eastAsia="Calibri"/>
          <w:sz w:val="22"/>
          <w:szCs w:val="22"/>
          <w:lang w:eastAsia="en-US"/>
        </w:rPr>
      </w:pPr>
    </w:p>
    <w:p w14:paraId="60848C28" w14:textId="77777777" w:rsidR="00E228EC" w:rsidRDefault="00E228EC" w:rsidP="00B61CE1">
      <w:pPr>
        <w:jc w:val="right"/>
        <w:rPr>
          <w:rFonts w:eastAsia="Calibri"/>
          <w:sz w:val="22"/>
          <w:szCs w:val="22"/>
          <w:lang w:eastAsia="en-US"/>
        </w:rPr>
      </w:pPr>
    </w:p>
    <w:p w14:paraId="5801C17B" w14:textId="77777777" w:rsidR="00E228EC" w:rsidRDefault="00E228EC" w:rsidP="00B61CE1">
      <w:pPr>
        <w:jc w:val="right"/>
        <w:rPr>
          <w:rFonts w:eastAsia="Calibri"/>
          <w:sz w:val="22"/>
          <w:szCs w:val="22"/>
          <w:lang w:eastAsia="en-US"/>
        </w:rPr>
      </w:pPr>
    </w:p>
    <w:p w14:paraId="56687B8D" w14:textId="77777777" w:rsidR="00E228EC" w:rsidRDefault="00E228EC" w:rsidP="00B61CE1">
      <w:pPr>
        <w:jc w:val="right"/>
        <w:rPr>
          <w:rFonts w:eastAsia="Calibri"/>
          <w:sz w:val="22"/>
          <w:szCs w:val="22"/>
          <w:lang w:eastAsia="en-US"/>
        </w:rPr>
      </w:pPr>
    </w:p>
    <w:p w14:paraId="0158B155" w14:textId="77777777" w:rsidR="00E228EC" w:rsidRDefault="00E228EC" w:rsidP="00B61CE1">
      <w:pPr>
        <w:jc w:val="right"/>
        <w:rPr>
          <w:rFonts w:eastAsia="Calibri"/>
          <w:sz w:val="22"/>
          <w:szCs w:val="22"/>
          <w:lang w:eastAsia="en-US"/>
        </w:rPr>
      </w:pPr>
    </w:p>
    <w:p w14:paraId="4297CCF1" w14:textId="77777777" w:rsidR="00E228EC" w:rsidRDefault="00E228EC" w:rsidP="00B61CE1">
      <w:pPr>
        <w:jc w:val="right"/>
        <w:rPr>
          <w:rFonts w:eastAsia="Calibri"/>
          <w:sz w:val="22"/>
          <w:szCs w:val="22"/>
          <w:lang w:eastAsia="en-US"/>
        </w:rPr>
      </w:pPr>
    </w:p>
    <w:p w14:paraId="549E02D5" w14:textId="77777777" w:rsidR="00E228EC" w:rsidRDefault="00E228EC" w:rsidP="00B61CE1">
      <w:pPr>
        <w:jc w:val="right"/>
        <w:rPr>
          <w:rFonts w:eastAsia="Calibri"/>
          <w:sz w:val="22"/>
          <w:szCs w:val="22"/>
          <w:lang w:eastAsia="en-US"/>
        </w:rPr>
      </w:pPr>
    </w:p>
    <w:p w14:paraId="4CDF7D0B" w14:textId="77777777" w:rsidR="00E228EC" w:rsidRDefault="00E228EC" w:rsidP="00B61CE1">
      <w:pPr>
        <w:jc w:val="right"/>
        <w:rPr>
          <w:rFonts w:eastAsia="Calibri"/>
          <w:sz w:val="22"/>
          <w:szCs w:val="22"/>
          <w:lang w:eastAsia="en-US"/>
        </w:rPr>
      </w:pPr>
    </w:p>
    <w:p w14:paraId="5AB923D2" w14:textId="77777777" w:rsidR="006C1CFA" w:rsidRDefault="006C1CFA" w:rsidP="00E228EC">
      <w:pPr>
        <w:rPr>
          <w:rFonts w:eastAsia="Calibri"/>
          <w:sz w:val="22"/>
          <w:szCs w:val="22"/>
          <w:lang w:eastAsia="en-US"/>
        </w:rPr>
      </w:pPr>
    </w:p>
    <w:p w14:paraId="488E1F6F" w14:textId="77777777" w:rsidR="00E228EC" w:rsidRDefault="00E228EC" w:rsidP="00E228EC">
      <w:pPr>
        <w:rPr>
          <w:rFonts w:eastAsia="Calibri"/>
          <w:sz w:val="22"/>
          <w:szCs w:val="22"/>
          <w:lang w:eastAsia="en-US"/>
        </w:rPr>
      </w:pPr>
    </w:p>
    <w:p w14:paraId="0BA0174B" w14:textId="77777777" w:rsidR="006C1CFA" w:rsidRDefault="006C1CFA" w:rsidP="00B61CE1">
      <w:pPr>
        <w:jc w:val="right"/>
        <w:rPr>
          <w:rFonts w:eastAsia="Calibri"/>
          <w:sz w:val="22"/>
          <w:szCs w:val="22"/>
          <w:lang w:eastAsia="en-US"/>
        </w:rPr>
      </w:pPr>
    </w:p>
    <w:p w14:paraId="3C4066B5" w14:textId="77777777" w:rsidR="009A48C4" w:rsidRDefault="009A48C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D06D60" w:rsidRDefault="00C470A9" w:rsidP="00C470A9">
      <w:pPr>
        <w:jc w:val="right"/>
        <w:rPr>
          <w:rFonts w:eastAsia="Calibri"/>
          <w:sz w:val="24"/>
          <w:szCs w:val="24"/>
          <w:lang w:eastAsia="en-US"/>
        </w:rPr>
      </w:pPr>
    </w:p>
    <w:p w14:paraId="3E0949A2" w14:textId="77777777" w:rsidR="00E228EC" w:rsidRPr="008D5BA4" w:rsidRDefault="00E228EC" w:rsidP="00E228EC">
      <w:pPr>
        <w:autoSpaceDE w:val="0"/>
        <w:autoSpaceDN w:val="0"/>
        <w:adjustRightInd w:val="0"/>
        <w:jc w:val="center"/>
        <w:rPr>
          <w:b/>
          <w:snapToGrid w:val="0"/>
          <w:sz w:val="24"/>
          <w:szCs w:val="24"/>
        </w:rPr>
      </w:pPr>
      <w:r w:rsidRPr="008D5BA4">
        <w:rPr>
          <w:b/>
          <w:snapToGrid w:val="0"/>
          <w:sz w:val="24"/>
          <w:szCs w:val="24"/>
        </w:rPr>
        <w:t>Договоры/ судебные акты (основания), права (требования) по которым уступаются:</w:t>
      </w:r>
    </w:p>
    <w:p w14:paraId="055AA2C6" w14:textId="77777777" w:rsidR="00E228EC" w:rsidRPr="008D5BA4" w:rsidRDefault="00E228EC" w:rsidP="00E228EC">
      <w:pPr>
        <w:autoSpaceDE w:val="0"/>
        <w:autoSpaceDN w:val="0"/>
        <w:adjustRightInd w:val="0"/>
        <w:jc w:val="center"/>
        <w:rPr>
          <w:b/>
          <w:snapToGrid w:val="0"/>
          <w:sz w:val="24"/>
          <w:szCs w:val="24"/>
        </w:rPr>
      </w:pPr>
    </w:p>
    <w:p w14:paraId="01232E05" w14:textId="77777777" w:rsidR="00E228EC" w:rsidRPr="008D5BA4" w:rsidRDefault="00E228EC" w:rsidP="00E228EC">
      <w:pPr>
        <w:pStyle w:val="a6"/>
        <w:numPr>
          <w:ilvl w:val="0"/>
          <w:numId w:val="6"/>
        </w:numPr>
        <w:tabs>
          <w:tab w:val="left" w:pos="567"/>
        </w:tabs>
        <w:autoSpaceDE w:val="0"/>
        <w:autoSpaceDN w:val="0"/>
        <w:adjustRightInd w:val="0"/>
        <w:ind w:left="567" w:hanging="567"/>
        <w:jc w:val="both"/>
      </w:pPr>
      <w:r w:rsidRPr="008D5BA4">
        <w:t>Кредитный договор №117205/0095 от 03.06.2011, заключенный с ООО «Фабрика орудий лова», в редакции дополнительных соглашений;</w:t>
      </w:r>
    </w:p>
    <w:p w14:paraId="3DA9301C" w14:textId="77777777" w:rsidR="00E228EC" w:rsidRPr="008D5BA4" w:rsidRDefault="00E228EC" w:rsidP="00E228EC">
      <w:pPr>
        <w:pStyle w:val="a6"/>
        <w:numPr>
          <w:ilvl w:val="0"/>
          <w:numId w:val="6"/>
        </w:numPr>
        <w:tabs>
          <w:tab w:val="left" w:pos="567"/>
        </w:tabs>
        <w:autoSpaceDE w:val="0"/>
        <w:autoSpaceDN w:val="0"/>
        <w:adjustRightInd w:val="0"/>
        <w:ind w:left="567" w:hanging="567"/>
        <w:jc w:val="both"/>
      </w:pPr>
      <w:r w:rsidRPr="008D5BA4">
        <w:t>Кредитный договор №117205/0275 от 29.12.2011, заключенный с ООО «Фабрика орудий лова», в редакции дополнительных соглашений;</w:t>
      </w:r>
    </w:p>
    <w:p w14:paraId="1EA78827" w14:textId="77777777" w:rsidR="00E228EC" w:rsidRPr="008D5BA4" w:rsidRDefault="00E228EC" w:rsidP="00E228EC">
      <w:pPr>
        <w:pStyle w:val="a6"/>
        <w:numPr>
          <w:ilvl w:val="0"/>
          <w:numId w:val="6"/>
        </w:numPr>
        <w:tabs>
          <w:tab w:val="left" w:pos="567"/>
        </w:tabs>
        <w:autoSpaceDE w:val="0"/>
        <w:autoSpaceDN w:val="0"/>
        <w:adjustRightInd w:val="0"/>
        <w:ind w:left="567" w:right="-57" w:hanging="567"/>
        <w:jc w:val="both"/>
      </w:pPr>
      <w:r w:rsidRPr="008D5BA4">
        <w:t>Договор №117205/0095-7.2 об ипотеке (залоге недвижимости) от 03.06.2011, заключенный с ООО «Фабрика орудий лова», в редакции дополнительных соглашений;</w:t>
      </w:r>
    </w:p>
    <w:p w14:paraId="1C1F0747" w14:textId="77777777" w:rsidR="00E228EC" w:rsidRPr="008D5BA4" w:rsidRDefault="00E228EC" w:rsidP="00E228EC">
      <w:pPr>
        <w:pStyle w:val="a6"/>
        <w:numPr>
          <w:ilvl w:val="0"/>
          <w:numId w:val="6"/>
        </w:numPr>
        <w:tabs>
          <w:tab w:val="left" w:pos="567"/>
        </w:tabs>
        <w:autoSpaceDE w:val="0"/>
        <w:autoSpaceDN w:val="0"/>
        <w:adjustRightInd w:val="0"/>
        <w:ind w:left="567" w:right="-57" w:hanging="567"/>
        <w:jc w:val="both"/>
      </w:pPr>
      <w:r w:rsidRPr="008D5BA4">
        <w:t>Договор №117205/0275-5 о залоге оборудования от 29.12.2011, заключенный с ООО «Фабрика орудий лова», в редакции дополнительных соглашений;</w:t>
      </w:r>
    </w:p>
    <w:p w14:paraId="6D66F0BA" w14:textId="77777777" w:rsidR="00E228EC" w:rsidRPr="008D5BA4" w:rsidRDefault="00E228EC" w:rsidP="00E228EC">
      <w:pPr>
        <w:pStyle w:val="a6"/>
        <w:numPr>
          <w:ilvl w:val="0"/>
          <w:numId w:val="6"/>
        </w:numPr>
        <w:tabs>
          <w:tab w:val="left" w:pos="567"/>
        </w:tabs>
        <w:autoSpaceDE w:val="0"/>
        <w:autoSpaceDN w:val="0"/>
        <w:adjustRightInd w:val="0"/>
        <w:ind w:left="567" w:right="-57" w:hanging="567"/>
        <w:jc w:val="both"/>
      </w:pPr>
      <w:r w:rsidRPr="008D5BA4">
        <w:t>Договор №117205/0275-12 о залоге имущества, которое Залогодатель приобретет в будущем, от 29.12.2011, заключенный с ООО «Фабрика орудий лова», в редакции дополнительных соглашений;</w:t>
      </w:r>
    </w:p>
    <w:p w14:paraId="212E09C8" w14:textId="77777777" w:rsidR="00E228EC" w:rsidRPr="008D5BA4" w:rsidRDefault="00E228EC" w:rsidP="00E228EC">
      <w:pPr>
        <w:numPr>
          <w:ilvl w:val="0"/>
          <w:numId w:val="6"/>
        </w:numPr>
        <w:tabs>
          <w:tab w:val="left" w:pos="567"/>
        </w:tabs>
        <w:ind w:left="567" w:hanging="567"/>
        <w:contextualSpacing/>
        <w:jc w:val="both"/>
        <w:rPr>
          <w:sz w:val="24"/>
          <w:szCs w:val="24"/>
        </w:rPr>
      </w:pPr>
      <w:r w:rsidRPr="008D5BA4">
        <w:rPr>
          <w:sz w:val="24"/>
          <w:szCs w:val="24"/>
        </w:rPr>
        <w:t>Договор №117205/0095-8.1/1 поручительства юридического лица от 04.06.2013, заключенный с ООО «Бест Фиш», в редакции дополнительных соглашений;</w:t>
      </w:r>
    </w:p>
    <w:p w14:paraId="7E39FB05" w14:textId="77777777" w:rsidR="00E228EC" w:rsidRPr="008D5BA4" w:rsidRDefault="00E228EC" w:rsidP="00E228EC">
      <w:pPr>
        <w:numPr>
          <w:ilvl w:val="0"/>
          <w:numId w:val="6"/>
        </w:numPr>
        <w:tabs>
          <w:tab w:val="left" w:pos="567"/>
        </w:tabs>
        <w:ind w:left="567" w:hanging="567"/>
        <w:contextualSpacing/>
        <w:jc w:val="both"/>
        <w:rPr>
          <w:sz w:val="24"/>
          <w:szCs w:val="24"/>
        </w:rPr>
      </w:pPr>
      <w:r w:rsidRPr="008D5BA4">
        <w:rPr>
          <w:sz w:val="24"/>
          <w:szCs w:val="24"/>
        </w:rPr>
        <w:t>Договор №117205/0275-8.1/1 поручительства юридического лица от 04.06.2013, заключенный с ООО «Бест Фиш», в редакции дополнительных соглашений;</w:t>
      </w:r>
    </w:p>
    <w:p w14:paraId="115FE5F5" w14:textId="77777777" w:rsidR="00E228EC" w:rsidRPr="008D5BA4" w:rsidRDefault="00E228EC" w:rsidP="00E228EC">
      <w:pPr>
        <w:pStyle w:val="a6"/>
        <w:numPr>
          <w:ilvl w:val="0"/>
          <w:numId w:val="6"/>
        </w:numPr>
        <w:tabs>
          <w:tab w:val="left" w:pos="567"/>
        </w:tabs>
        <w:ind w:left="567" w:hanging="567"/>
        <w:jc w:val="both"/>
      </w:pPr>
      <w:r w:rsidRPr="008D5BA4">
        <w:t xml:space="preserve">Договор №117205/0095-9.1 поручительства физического лица от 03.06.2011, заключенный с </w:t>
      </w:r>
      <w:proofErr w:type="spellStart"/>
      <w:r w:rsidRPr="008D5BA4">
        <w:t>Биккерт</w:t>
      </w:r>
      <w:proofErr w:type="spellEnd"/>
      <w:r w:rsidRPr="008D5BA4">
        <w:t xml:space="preserve"> Виктором </w:t>
      </w:r>
      <w:proofErr w:type="spellStart"/>
      <w:r w:rsidRPr="008D5BA4">
        <w:t>Эмануиловичем</w:t>
      </w:r>
      <w:proofErr w:type="spellEnd"/>
      <w:r w:rsidRPr="008D5BA4">
        <w:t>, в редакции дополнительных соглашений;</w:t>
      </w:r>
    </w:p>
    <w:p w14:paraId="2705944A" w14:textId="77777777" w:rsidR="00E228EC" w:rsidRPr="008D5BA4" w:rsidRDefault="00E228EC" w:rsidP="00E228EC">
      <w:pPr>
        <w:pStyle w:val="a6"/>
        <w:numPr>
          <w:ilvl w:val="0"/>
          <w:numId w:val="6"/>
        </w:numPr>
        <w:tabs>
          <w:tab w:val="left" w:pos="851"/>
        </w:tabs>
        <w:ind w:left="567" w:hanging="567"/>
        <w:jc w:val="both"/>
      </w:pPr>
      <w:r w:rsidRPr="008D5BA4">
        <w:t xml:space="preserve">Договор №117205/0275-9.1 поручительства физического лица от 29.12.2011, заключенный с </w:t>
      </w:r>
      <w:proofErr w:type="spellStart"/>
      <w:r w:rsidRPr="008D5BA4">
        <w:t>Биккерт</w:t>
      </w:r>
      <w:proofErr w:type="spellEnd"/>
      <w:r w:rsidRPr="008D5BA4">
        <w:t xml:space="preserve"> Виктором </w:t>
      </w:r>
      <w:proofErr w:type="spellStart"/>
      <w:r w:rsidRPr="008D5BA4">
        <w:t>Эмануиловичем</w:t>
      </w:r>
      <w:proofErr w:type="spellEnd"/>
      <w:r w:rsidRPr="008D5BA4">
        <w:t>, в редакции дополнительных соглашений;</w:t>
      </w:r>
    </w:p>
    <w:p w14:paraId="1C169BC6" w14:textId="77777777" w:rsidR="00E228EC" w:rsidRDefault="00E228EC" w:rsidP="00E228EC">
      <w:pPr>
        <w:pStyle w:val="a6"/>
        <w:numPr>
          <w:ilvl w:val="0"/>
          <w:numId w:val="6"/>
        </w:numPr>
        <w:tabs>
          <w:tab w:val="left" w:pos="567"/>
        </w:tabs>
        <w:ind w:left="567" w:hanging="567"/>
        <w:contextualSpacing/>
        <w:jc w:val="both"/>
      </w:pPr>
      <w:r w:rsidRPr="00B320DF">
        <w:t xml:space="preserve">Решение </w:t>
      </w:r>
      <w:proofErr w:type="spellStart"/>
      <w:r w:rsidRPr="00B320DF">
        <w:t>Корсаковского</w:t>
      </w:r>
      <w:proofErr w:type="spellEnd"/>
      <w:r w:rsidRPr="00B320DF">
        <w:t xml:space="preserve"> городского суда Сахалинской области от 14.10.2015 по делу №2-1445/15;</w:t>
      </w:r>
    </w:p>
    <w:p w14:paraId="2A62B9F2" w14:textId="77777777" w:rsidR="00E228EC" w:rsidRPr="00713E02" w:rsidRDefault="00E228EC" w:rsidP="00E228EC">
      <w:pPr>
        <w:pStyle w:val="a6"/>
        <w:numPr>
          <w:ilvl w:val="0"/>
          <w:numId w:val="6"/>
        </w:numPr>
        <w:tabs>
          <w:tab w:val="left" w:pos="567"/>
        </w:tabs>
        <w:ind w:left="567" w:hanging="567"/>
        <w:contextualSpacing/>
        <w:jc w:val="both"/>
      </w:pPr>
      <w:r w:rsidRPr="00713E02">
        <w:t>Мировое соглашение от 29.09.2016 по делу №2-913/2016;</w:t>
      </w:r>
    </w:p>
    <w:p w14:paraId="2884498A" w14:textId="77777777" w:rsidR="00E228EC" w:rsidRPr="00B320DF" w:rsidRDefault="00E228EC" w:rsidP="00E228EC">
      <w:pPr>
        <w:pStyle w:val="a6"/>
        <w:numPr>
          <w:ilvl w:val="0"/>
          <w:numId w:val="6"/>
        </w:numPr>
        <w:tabs>
          <w:tab w:val="left" w:pos="567"/>
        </w:tabs>
        <w:ind w:left="567" w:hanging="567"/>
        <w:contextualSpacing/>
        <w:jc w:val="both"/>
      </w:pPr>
      <w:r w:rsidRPr="00B320DF">
        <w:t xml:space="preserve">Определение </w:t>
      </w:r>
      <w:proofErr w:type="spellStart"/>
      <w:r w:rsidRPr="00B320DF">
        <w:t>Корсаковского</w:t>
      </w:r>
      <w:proofErr w:type="spellEnd"/>
      <w:r w:rsidRPr="00B320DF">
        <w:t xml:space="preserve"> городского суда Сахалинской области </w:t>
      </w:r>
      <w:r>
        <w:t>о пре</w:t>
      </w:r>
      <w:r w:rsidRPr="00B320DF">
        <w:t>к</w:t>
      </w:r>
      <w:r>
        <w:t>р</w:t>
      </w:r>
      <w:r w:rsidRPr="00B320DF">
        <w:t>ащении производства по делу в связи с утверждением мирового соглашения от 04.10.2016 по делу №2-913/2016;</w:t>
      </w:r>
    </w:p>
    <w:p w14:paraId="7605F7B0" w14:textId="77777777" w:rsidR="00E228EC" w:rsidRDefault="00E228EC" w:rsidP="00E228EC">
      <w:pPr>
        <w:pStyle w:val="a6"/>
        <w:numPr>
          <w:ilvl w:val="0"/>
          <w:numId w:val="6"/>
        </w:numPr>
        <w:tabs>
          <w:tab w:val="left" w:pos="567"/>
        </w:tabs>
        <w:ind w:left="567" w:hanging="567"/>
        <w:contextualSpacing/>
        <w:jc w:val="both"/>
      </w:pPr>
      <w:r w:rsidRPr="00B320DF">
        <w:t xml:space="preserve">Определение </w:t>
      </w:r>
      <w:proofErr w:type="spellStart"/>
      <w:r w:rsidRPr="00B320DF">
        <w:t>Корсаковского</w:t>
      </w:r>
      <w:proofErr w:type="spellEnd"/>
      <w:r w:rsidRPr="00B320DF">
        <w:t xml:space="preserve"> городского суда Сахалинской области от 17.05.2018 по делу №2-1445/2015;</w:t>
      </w:r>
    </w:p>
    <w:p w14:paraId="5DFC22DB" w14:textId="77777777" w:rsidR="00E228EC" w:rsidRPr="00B320DF" w:rsidRDefault="00E228EC" w:rsidP="00E228EC">
      <w:pPr>
        <w:pStyle w:val="a6"/>
        <w:numPr>
          <w:ilvl w:val="0"/>
          <w:numId w:val="6"/>
        </w:numPr>
        <w:tabs>
          <w:tab w:val="left" w:pos="567"/>
        </w:tabs>
        <w:ind w:left="567" w:hanging="567"/>
        <w:contextualSpacing/>
        <w:jc w:val="both"/>
      </w:pPr>
      <w:r w:rsidRPr="00B320DF">
        <w:t xml:space="preserve">Определение </w:t>
      </w:r>
      <w:proofErr w:type="spellStart"/>
      <w:r w:rsidRPr="00B320DF">
        <w:t>Корсаковского</w:t>
      </w:r>
      <w:proofErr w:type="spellEnd"/>
      <w:r w:rsidRPr="00B320DF">
        <w:t xml:space="preserve"> городского суда Сахалинской области от 17.05.2018 по делу №2-</w:t>
      </w:r>
      <w:r>
        <w:t>913</w:t>
      </w:r>
      <w:r w:rsidRPr="00B320DF">
        <w:t>/201</w:t>
      </w:r>
      <w:r>
        <w:t>6</w:t>
      </w:r>
      <w:r w:rsidRPr="00B320DF">
        <w:t>;</w:t>
      </w:r>
    </w:p>
    <w:p w14:paraId="2CD21895" w14:textId="77777777" w:rsidR="00E228EC" w:rsidRPr="009F7852" w:rsidRDefault="00E228EC" w:rsidP="00E228EC">
      <w:pPr>
        <w:numPr>
          <w:ilvl w:val="0"/>
          <w:numId w:val="6"/>
        </w:numPr>
        <w:tabs>
          <w:tab w:val="left" w:pos="214"/>
          <w:tab w:val="left" w:pos="271"/>
          <w:tab w:val="left" w:pos="567"/>
          <w:tab w:val="left" w:pos="851"/>
          <w:tab w:val="left" w:pos="1046"/>
          <w:tab w:val="left" w:pos="1213"/>
        </w:tabs>
        <w:ind w:left="567" w:hanging="567"/>
        <w:jc w:val="both"/>
        <w:rPr>
          <w:sz w:val="24"/>
          <w:szCs w:val="24"/>
        </w:rPr>
      </w:pPr>
      <w:r w:rsidRPr="009F7852">
        <w:rPr>
          <w:sz w:val="24"/>
          <w:szCs w:val="24"/>
        </w:rPr>
        <w:t>Определение Арбитражного суда Сахалинской области от 08.02.2021 по делу №А59-1409/2020, согласно которому требования АО «</w:t>
      </w:r>
      <w:proofErr w:type="spellStart"/>
      <w:r w:rsidRPr="009F7852">
        <w:rPr>
          <w:sz w:val="24"/>
          <w:szCs w:val="24"/>
        </w:rPr>
        <w:t>Россельхозбанк</w:t>
      </w:r>
      <w:proofErr w:type="spellEnd"/>
      <w:r w:rsidRPr="009F7852">
        <w:rPr>
          <w:sz w:val="24"/>
          <w:szCs w:val="24"/>
        </w:rPr>
        <w:t>» включены в реестр требований кредиторов ООО «Фабрика орудий лова»;</w:t>
      </w:r>
    </w:p>
    <w:p w14:paraId="1305CA9F" w14:textId="77777777" w:rsidR="00E228EC" w:rsidRDefault="00E228EC" w:rsidP="00E228EC">
      <w:pPr>
        <w:numPr>
          <w:ilvl w:val="0"/>
          <w:numId w:val="6"/>
        </w:numPr>
        <w:tabs>
          <w:tab w:val="left" w:pos="214"/>
          <w:tab w:val="left" w:pos="271"/>
          <w:tab w:val="left" w:pos="567"/>
          <w:tab w:val="left" w:pos="851"/>
          <w:tab w:val="left" w:pos="1046"/>
          <w:tab w:val="left" w:pos="1213"/>
        </w:tabs>
        <w:ind w:left="567" w:hanging="567"/>
        <w:jc w:val="both"/>
        <w:rPr>
          <w:sz w:val="24"/>
          <w:szCs w:val="24"/>
        </w:rPr>
      </w:pPr>
      <w:r w:rsidRPr="009F7852">
        <w:rPr>
          <w:sz w:val="24"/>
          <w:szCs w:val="24"/>
        </w:rPr>
        <w:t>Определение Арбитражного суда Сахалинской области от 12.07.2021 по делу №А59-1617/2021 о признании требований заявителя обоснованными и введении наблюдения, согласно которому требования АО «</w:t>
      </w:r>
      <w:proofErr w:type="spellStart"/>
      <w:r w:rsidRPr="009F7852">
        <w:rPr>
          <w:sz w:val="24"/>
          <w:szCs w:val="24"/>
        </w:rPr>
        <w:t>Россельхозбанк</w:t>
      </w:r>
      <w:proofErr w:type="spellEnd"/>
      <w:r w:rsidRPr="009F7852">
        <w:rPr>
          <w:sz w:val="24"/>
          <w:szCs w:val="24"/>
        </w:rPr>
        <w:t>» включены в реестр требований кредиторов ООО «Бест Фиш»;</w:t>
      </w:r>
    </w:p>
    <w:p w14:paraId="603AFBF8" w14:textId="77777777" w:rsidR="00E228EC" w:rsidRPr="009F7852" w:rsidRDefault="00E228EC" w:rsidP="00E228EC">
      <w:pPr>
        <w:numPr>
          <w:ilvl w:val="0"/>
          <w:numId w:val="6"/>
        </w:numPr>
        <w:tabs>
          <w:tab w:val="left" w:pos="214"/>
          <w:tab w:val="left" w:pos="271"/>
          <w:tab w:val="left" w:pos="567"/>
          <w:tab w:val="left" w:pos="851"/>
          <w:tab w:val="left" w:pos="1046"/>
          <w:tab w:val="left" w:pos="1213"/>
        </w:tabs>
        <w:ind w:left="567" w:hanging="567"/>
        <w:jc w:val="both"/>
        <w:rPr>
          <w:sz w:val="24"/>
          <w:szCs w:val="24"/>
        </w:rPr>
      </w:pPr>
      <w:r>
        <w:rPr>
          <w:sz w:val="24"/>
          <w:szCs w:val="24"/>
        </w:rPr>
        <w:t>Решение</w:t>
      </w:r>
      <w:r w:rsidRPr="009F7852">
        <w:rPr>
          <w:sz w:val="24"/>
          <w:szCs w:val="24"/>
        </w:rPr>
        <w:t xml:space="preserve"> Арбитражного суда Сахалинской области от </w:t>
      </w:r>
      <w:r>
        <w:rPr>
          <w:sz w:val="24"/>
          <w:szCs w:val="24"/>
        </w:rPr>
        <w:t>11.04.2022</w:t>
      </w:r>
      <w:r w:rsidRPr="009F7852">
        <w:rPr>
          <w:sz w:val="24"/>
          <w:szCs w:val="24"/>
        </w:rPr>
        <w:t xml:space="preserve"> по делу №А59-1617/2021 о признании </w:t>
      </w:r>
      <w:r>
        <w:rPr>
          <w:sz w:val="24"/>
          <w:szCs w:val="24"/>
        </w:rPr>
        <w:t>должника банкротом и открытии конкурсного производства</w:t>
      </w:r>
      <w:r w:rsidRPr="009F7852">
        <w:rPr>
          <w:sz w:val="24"/>
          <w:szCs w:val="24"/>
        </w:rPr>
        <w:t xml:space="preserve">, согласно которому </w:t>
      </w:r>
      <w:r>
        <w:rPr>
          <w:sz w:val="24"/>
          <w:szCs w:val="24"/>
        </w:rPr>
        <w:t xml:space="preserve">с ООО «Бест Фиш» в пользу </w:t>
      </w:r>
      <w:r w:rsidRPr="009F7852">
        <w:rPr>
          <w:sz w:val="24"/>
          <w:szCs w:val="24"/>
        </w:rPr>
        <w:t>АО «</w:t>
      </w:r>
      <w:proofErr w:type="spellStart"/>
      <w:r w:rsidRPr="009F7852">
        <w:rPr>
          <w:sz w:val="24"/>
          <w:szCs w:val="24"/>
        </w:rPr>
        <w:t>Россельхозбанк</w:t>
      </w:r>
      <w:proofErr w:type="spellEnd"/>
      <w:r w:rsidRPr="009F7852">
        <w:rPr>
          <w:sz w:val="24"/>
          <w:szCs w:val="24"/>
        </w:rPr>
        <w:t xml:space="preserve">» </w:t>
      </w:r>
      <w:r>
        <w:rPr>
          <w:sz w:val="24"/>
          <w:szCs w:val="24"/>
        </w:rPr>
        <w:t>взысканы судебные расходы по уплате государственной пошлины;</w:t>
      </w:r>
    </w:p>
    <w:p w14:paraId="12DC7E92" w14:textId="6BD3351D" w:rsidR="00FA15F1" w:rsidRPr="00E228EC" w:rsidRDefault="00E228EC" w:rsidP="00E228EC">
      <w:pPr>
        <w:pStyle w:val="a6"/>
        <w:numPr>
          <w:ilvl w:val="0"/>
          <w:numId w:val="6"/>
        </w:numPr>
        <w:tabs>
          <w:tab w:val="left" w:pos="567"/>
        </w:tabs>
        <w:ind w:left="567" w:hanging="567"/>
        <w:jc w:val="both"/>
      </w:pPr>
      <w:r w:rsidRPr="009F7852">
        <w:t>Определение Арбитражного суда Сахалинской области от 15.05.2019 по делу №А59-6214/2018, согласно которому требования АО «</w:t>
      </w:r>
      <w:proofErr w:type="spellStart"/>
      <w:r w:rsidRPr="009F7852">
        <w:t>Россельхозбанк</w:t>
      </w:r>
      <w:proofErr w:type="spellEnd"/>
      <w:r w:rsidRPr="009F7852">
        <w:t>» включены в реестр требований кредитор</w:t>
      </w:r>
      <w:r>
        <w:t xml:space="preserve">ов </w:t>
      </w:r>
      <w:proofErr w:type="spellStart"/>
      <w:r>
        <w:t>Биккерт</w:t>
      </w:r>
      <w:proofErr w:type="spellEnd"/>
      <w:r>
        <w:t xml:space="preserve"> Виктора </w:t>
      </w:r>
      <w:proofErr w:type="spellStart"/>
      <w:r>
        <w:t>Эмануиловича</w:t>
      </w:r>
      <w:proofErr w:type="spellEnd"/>
      <w:r>
        <w:t>.</w:t>
      </w:r>
    </w:p>
    <w:p w14:paraId="73E9444B" w14:textId="77777777" w:rsidR="006C1CFA" w:rsidRPr="00A5020E" w:rsidRDefault="006C1CFA" w:rsidP="00A5020E">
      <w:pPr>
        <w:tabs>
          <w:tab w:val="left" w:pos="0"/>
        </w:tabs>
        <w:rPr>
          <w:sz w:val="24"/>
          <w:szCs w:val="24"/>
          <w:lang w:val="ru"/>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6A48" w14:textId="77777777" w:rsidR="004456CD" w:rsidRDefault="004456CD" w:rsidP="00020E44">
      <w:r>
        <w:separator/>
      </w:r>
    </w:p>
  </w:endnote>
  <w:endnote w:type="continuationSeparator" w:id="0">
    <w:p w14:paraId="305A87BD" w14:textId="77777777" w:rsidR="004456CD" w:rsidRDefault="004456CD"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9D95" w14:textId="77777777" w:rsidR="004456CD" w:rsidRDefault="004456CD" w:rsidP="00020E44">
      <w:r>
        <w:separator/>
      </w:r>
    </w:p>
  </w:footnote>
  <w:footnote w:type="continuationSeparator" w:id="0">
    <w:p w14:paraId="751ADB00" w14:textId="77777777" w:rsidR="004456CD" w:rsidRDefault="004456CD" w:rsidP="00020E44">
      <w:r>
        <w:continuationSeparator/>
      </w:r>
    </w:p>
  </w:footnote>
  <w:footnote w:id="1">
    <w:p w14:paraId="4C001045" w14:textId="77777777" w:rsidR="00E228EC" w:rsidRPr="002E7407" w:rsidRDefault="00E228EC" w:rsidP="00E228EC">
      <w:pPr>
        <w:pStyle w:val="a3"/>
        <w:jc w:val="both"/>
        <w:rPr>
          <w:sz w:val="18"/>
          <w:szCs w:val="18"/>
        </w:rPr>
      </w:pPr>
      <w:r w:rsidRPr="00EE1ED4">
        <w:rPr>
          <w:rStyle w:val="a5"/>
        </w:rPr>
        <w:footnoteRef/>
      </w:r>
      <w:r>
        <w:t xml:space="preserve"> </w:t>
      </w:r>
      <w:r w:rsidRPr="002E7407">
        <w:rPr>
          <w:sz w:val="18"/>
          <w:szCs w:val="18"/>
        </w:rPr>
        <w:t>Если дата последнего отчетного периода не является годовой – за последний завершенный период, предшествующий дате принятия решения уполномоченным органом Банка решения о заключении Договора, на начало текущего года, за аналогичный последнему завершенному период прошлого года.</w:t>
      </w:r>
    </w:p>
    <w:p w14:paraId="397D0434" w14:textId="77777777" w:rsidR="00E228EC" w:rsidRDefault="00E228EC" w:rsidP="00E228EC">
      <w:pPr>
        <w:pStyle w:val="a3"/>
        <w:jc w:val="both"/>
      </w:pPr>
      <w:r w:rsidRPr="002E7407">
        <w:rPr>
          <w:sz w:val="18"/>
          <w:szCs w:val="18"/>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5"/>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876AA"/>
    <w:rsid w:val="000A54DF"/>
    <w:rsid w:val="000B6847"/>
    <w:rsid w:val="000C3648"/>
    <w:rsid w:val="000D732A"/>
    <w:rsid w:val="0010351D"/>
    <w:rsid w:val="00125202"/>
    <w:rsid w:val="00135C07"/>
    <w:rsid w:val="00147EBE"/>
    <w:rsid w:val="00151EEF"/>
    <w:rsid w:val="00155F83"/>
    <w:rsid w:val="0018334F"/>
    <w:rsid w:val="001A139D"/>
    <w:rsid w:val="001A4FEC"/>
    <w:rsid w:val="001B0C8B"/>
    <w:rsid w:val="001C3868"/>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E53D6"/>
    <w:rsid w:val="00411C0B"/>
    <w:rsid w:val="00424E22"/>
    <w:rsid w:val="004456CD"/>
    <w:rsid w:val="004512F4"/>
    <w:rsid w:val="00474B20"/>
    <w:rsid w:val="00477AE3"/>
    <w:rsid w:val="004955C5"/>
    <w:rsid w:val="00497C09"/>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24E0"/>
    <w:rsid w:val="0065078A"/>
    <w:rsid w:val="006712A6"/>
    <w:rsid w:val="006856F1"/>
    <w:rsid w:val="006861A8"/>
    <w:rsid w:val="006933C9"/>
    <w:rsid w:val="006A7596"/>
    <w:rsid w:val="006C1CFA"/>
    <w:rsid w:val="006C643E"/>
    <w:rsid w:val="006C715A"/>
    <w:rsid w:val="006E2C69"/>
    <w:rsid w:val="006E4908"/>
    <w:rsid w:val="006E5F3F"/>
    <w:rsid w:val="0071537B"/>
    <w:rsid w:val="0072501D"/>
    <w:rsid w:val="00732999"/>
    <w:rsid w:val="007446AA"/>
    <w:rsid w:val="00747441"/>
    <w:rsid w:val="00756F6F"/>
    <w:rsid w:val="00760848"/>
    <w:rsid w:val="00776EAD"/>
    <w:rsid w:val="00782F8E"/>
    <w:rsid w:val="00792113"/>
    <w:rsid w:val="0079398D"/>
    <w:rsid w:val="00795722"/>
    <w:rsid w:val="007A56D6"/>
    <w:rsid w:val="007B1F5B"/>
    <w:rsid w:val="007D03AC"/>
    <w:rsid w:val="007D27FE"/>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A48C4"/>
    <w:rsid w:val="009B091F"/>
    <w:rsid w:val="009C0F20"/>
    <w:rsid w:val="009C46DB"/>
    <w:rsid w:val="009D443C"/>
    <w:rsid w:val="009E2985"/>
    <w:rsid w:val="009F7494"/>
    <w:rsid w:val="00A5020E"/>
    <w:rsid w:val="00A54663"/>
    <w:rsid w:val="00A66290"/>
    <w:rsid w:val="00A81EAC"/>
    <w:rsid w:val="00A90363"/>
    <w:rsid w:val="00A90ED6"/>
    <w:rsid w:val="00A972B6"/>
    <w:rsid w:val="00AB58AA"/>
    <w:rsid w:val="00AD0A58"/>
    <w:rsid w:val="00AE5355"/>
    <w:rsid w:val="00AF007C"/>
    <w:rsid w:val="00B10D1B"/>
    <w:rsid w:val="00B11FCC"/>
    <w:rsid w:val="00B167C6"/>
    <w:rsid w:val="00B17B88"/>
    <w:rsid w:val="00B17ED6"/>
    <w:rsid w:val="00B22F96"/>
    <w:rsid w:val="00B4093F"/>
    <w:rsid w:val="00B5095D"/>
    <w:rsid w:val="00B55A9C"/>
    <w:rsid w:val="00B61CE1"/>
    <w:rsid w:val="00BA5672"/>
    <w:rsid w:val="00BB5312"/>
    <w:rsid w:val="00C03E57"/>
    <w:rsid w:val="00C1100A"/>
    <w:rsid w:val="00C20A1C"/>
    <w:rsid w:val="00C466B4"/>
    <w:rsid w:val="00C470A9"/>
    <w:rsid w:val="00C51739"/>
    <w:rsid w:val="00C63384"/>
    <w:rsid w:val="00C73F8A"/>
    <w:rsid w:val="00C87EB5"/>
    <w:rsid w:val="00CC713D"/>
    <w:rsid w:val="00CC7647"/>
    <w:rsid w:val="00CE30E9"/>
    <w:rsid w:val="00CF587E"/>
    <w:rsid w:val="00D01B06"/>
    <w:rsid w:val="00D041D8"/>
    <w:rsid w:val="00D05DA9"/>
    <w:rsid w:val="00D17325"/>
    <w:rsid w:val="00D2029C"/>
    <w:rsid w:val="00D256EF"/>
    <w:rsid w:val="00D6008A"/>
    <w:rsid w:val="00D63EA0"/>
    <w:rsid w:val="00D74F7C"/>
    <w:rsid w:val="00D87DE9"/>
    <w:rsid w:val="00DA26B9"/>
    <w:rsid w:val="00DA27EE"/>
    <w:rsid w:val="00DE1F6E"/>
    <w:rsid w:val="00DE2D76"/>
    <w:rsid w:val="00DE4693"/>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vseychenkoTA@yakutia.rshb.ru" TargetMode="Externa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D4EA-E7C0-44B6-9618-19073188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2023-12-26T08:26:00Z</dcterms:created>
  <dcterms:modified xsi:type="dcterms:W3CDTF">2023-12-26T08:26:00Z</dcterms:modified>
</cp:coreProperties>
</file>