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4590FE2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21B4E">
        <w:rPr>
          <w:rFonts w:ascii="Verdana" w:hAnsi="Verdana"/>
          <w:b/>
          <w:sz w:val="20"/>
        </w:rPr>
        <w:t xml:space="preserve"> </w:t>
      </w:r>
      <w:bookmarkStart w:id="0" w:name="_GoBack"/>
      <w:bookmarkEnd w:id="0"/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195BE2DE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797502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DD668A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DD668A">
              <w:tc>
                <w:tcPr>
                  <w:tcW w:w="6969" w:type="dxa"/>
                </w:tcPr>
                <w:p w14:paraId="2490B314" w14:textId="77777777" w:rsidR="0050371D" w:rsidRPr="00214013" w:rsidRDefault="0050371D" w:rsidP="00DD668A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DD668A">
              <w:tc>
                <w:tcPr>
                  <w:tcW w:w="6969" w:type="dxa"/>
                </w:tcPr>
                <w:p w14:paraId="5B6B5B6D" w14:textId="77777777" w:rsidR="0050371D" w:rsidRPr="00214013" w:rsidRDefault="0050371D" w:rsidP="00DD668A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DD668A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DD668A">
              <w:tc>
                <w:tcPr>
                  <w:tcW w:w="6969" w:type="dxa"/>
                </w:tcPr>
                <w:p w14:paraId="35705675" w14:textId="77777777" w:rsidR="0050371D" w:rsidRPr="00214013" w:rsidRDefault="0050371D" w:rsidP="00DD668A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DD668A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DD668A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DD668A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DD668A">
              <w:tc>
                <w:tcPr>
                  <w:tcW w:w="6969" w:type="dxa"/>
                </w:tcPr>
                <w:p w14:paraId="02911C75" w14:textId="77777777" w:rsidR="0050371D" w:rsidRPr="00214013" w:rsidRDefault="0050371D" w:rsidP="00DD668A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DD668A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DD668A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DD668A">
              <w:tc>
                <w:tcPr>
                  <w:tcW w:w="6969" w:type="dxa"/>
                </w:tcPr>
                <w:p w14:paraId="056B855B" w14:textId="77777777" w:rsidR="0050371D" w:rsidRPr="00214013" w:rsidRDefault="0050371D" w:rsidP="00DD668A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DD668A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DD668A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DD668A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7EEE97D6" w14:textId="00A5B910" w:rsidR="0001657E" w:rsidRPr="0001657E" w:rsidRDefault="0001657E" w:rsidP="0001657E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01657E">
        <w:rPr>
          <w:rFonts w:ascii="Verdana" w:hAnsi="Verdana" w:cs="Times New Roman"/>
          <w:color w:val="000000" w:themeColor="text1"/>
        </w:rPr>
        <w:t xml:space="preserve">Земельный участок, общая площадь: </w:t>
      </w:r>
      <w:r w:rsidR="009F45D1">
        <w:rPr>
          <w:rFonts w:ascii="Verdana" w:hAnsi="Verdana" w:cs="Times New Roman"/>
          <w:color w:val="000000" w:themeColor="text1"/>
        </w:rPr>
        <w:t>2 5</w:t>
      </w:r>
      <w:r w:rsidRPr="0001657E">
        <w:rPr>
          <w:rFonts w:ascii="Verdana" w:hAnsi="Verdana" w:cs="Times New Roman"/>
          <w:color w:val="000000" w:themeColor="text1"/>
        </w:rPr>
        <w:t xml:space="preserve">00 </w:t>
      </w:r>
      <w:proofErr w:type="spellStart"/>
      <w:proofErr w:type="gramStart"/>
      <w:r w:rsidRPr="0001657E">
        <w:rPr>
          <w:rFonts w:ascii="Verdana" w:hAnsi="Verdana" w:cs="Times New Roman"/>
          <w:color w:val="000000" w:themeColor="text1"/>
        </w:rPr>
        <w:t>кв.м</w:t>
      </w:r>
      <w:proofErr w:type="spellEnd"/>
      <w:proofErr w:type="gramEnd"/>
      <w:r w:rsidRPr="0001657E">
        <w:rPr>
          <w:rFonts w:ascii="Verdana" w:hAnsi="Verdana" w:cs="Times New Roman"/>
          <w:color w:val="000000" w:themeColor="text1"/>
        </w:rPr>
        <w:t xml:space="preserve">; местоположение (адрес): Местоположение установлено относительно ориентира, расположенного в границах участка. Почтовый адрес ориентира: </w:t>
      </w:r>
      <w:r w:rsidR="009F45D1">
        <w:rPr>
          <w:rFonts w:ascii="Verdana" w:hAnsi="Verdana" w:cs="Times New Roman"/>
          <w:color w:val="000000" w:themeColor="text1"/>
        </w:rPr>
        <w:t>Волгоградская</w:t>
      </w:r>
      <w:r w:rsidRPr="0001657E">
        <w:rPr>
          <w:rFonts w:ascii="Verdana" w:hAnsi="Verdana" w:cs="Times New Roman"/>
          <w:color w:val="000000" w:themeColor="text1"/>
        </w:rPr>
        <w:t xml:space="preserve"> обл</w:t>
      </w:r>
      <w:r w:rsidR="009F45D1">
        <w:rPr>
          <w:rFonts w:ascii="Verdana" w:hAnsi="Verdana" w:cs="Times New Roman"/>
          <w:color w:val="000000" w:themeColor="text1"/>
        </w:rPr>
        <w:t>.</w:t>
      </w:r>
      <w:r w:rsidRPr="0001657E">
        <w:rPr>
          <w:rFonts w:ascii="Verdana" w:hAnsi="Verdana" w:cs="Times New Roman"/>
          <w:color w:val="000000" w:themeColor="text1"/>
        </w:rPr>
        <w:t xml:space="preserve">, р-н. </w:t>
      </w:r>
      <w:r w:rsidR="009F45D1">
        <w:rPr>
          <w:rFonts w:ascii="Verdana" w:hAnsi="Verdana" w:cs="Times New Roman"/>
          <w:color w:val="000000" w:themeColor="text1"/>
        </w:rPr>
        <w:t>Среднеахтубинский</w:t>
      </w:r>
      <w:r w:rsidRPr="0001657E">
        <w:rPr>
          <w:rFonts w:ascii="Verdana" w:hAnsi="Verdana" w:cs="Times New Roman"/>
          <w:color w:val="000000" w:themeColor="text1"/>
        </w:rPr>
        <w:t xml:space="preserve">, </w:t>
      </w:r>
      <w:r w:rsidR="009F45D1">
        <w:rPr>
          <w:rFonts w:ascii="Verdana" w:hAnsi="Verdana" w:cs="Times New Roman"/>
          <w:color w:val="000000" w:themeColor="text1"/>
        </w:rPr>
        <w:t>п. Рыбачий, ул. Новостройки, 31</w:t>
      </w:r>
      <w:r w:rsidRPr="0001657E">
        <w:rPr>
          <w:rFonts w:ascii="Verdana" w:hAnsi="Verdana" w:cs="Times New Roman"/>
          <w:color w:val="000000" w:themeColor="text1"/>
        </w:rPr>
        <w:t xml:space="preserve">; Кадастровый номер: </w:t>
      </w:r>
      <w:r w:rsidR="009F45D1" w:rsidRPr="009F45D1">
        <w:rPr>
          <w:rFonts w:ascii="Verdana" w:hAnsi="Verdana" w:cs="Times New Roman"/>
          <w:color w:val="000000" w:themeColor="text1"/>
        </w:rPr>
        <w:t>34:28:130012:51</w:t>
      </w:r>
      <w:r w:rsidRPr="0001657E">
        <w:rPr>
          <w:rFonts w:ascii="Verdana" w:hAnsi="Verdana" w:cs="Times New Roman"/>
          <w:color w:val="000000" w:themeColor="text1"/>
        </w:rPr>
        <w:t xml:space="preserve">; Категория земель: </w:t>
      </w:r>
      <w:r w:rsidR="009C7203">
        <w:rPr>
          <w:rFonts w:ascii="Verdana" w:hAnsi="Verdana" w:cs="Times New Roman"/>
          <w:color w:val="000000" w:themeColor="text1"/>
        </w:rPr>
        <w:t>з</w:t>
      </w:r>
      <w:r w:rsidRPr="0001657E">
        <w:rPr>
          <w:rFonts w:ascii="Verdana" w:hAnsi="Verdana" w:cs="Times New Roman"/>
          <w:color w:val="000000" w:themeColor="text1"/>
        </w:rPr>
        <w:t xml:space="preserve">емли сельскохозяйственного назначения; Вид разрешенного использования: </w:t>
      </w:r>
      <w:r w:rsidR="009C7203">
        <w:rPr>
          <w:rFonts w:ascii="Verdana" w:hAnsi="Verdana" w:cs="Times New Roman"/>
          <w:color w:val="000000" w:themeColor="text1"/>
        </w:rPr>
        <w:t>д</w:t>
      </w:r>
      <w:r w:rsidR="009C7203" w:rsidRPr="009C7203">
        <w:rPr>
          <w:rFonts w:ascii="Verdana" w:hAnsi="Verdana" w:cs="Times New Roman"/>
          <w:color w:val="000000" w:themeColor="text1"/>
        </w:rPr>
        <w:t>ля ведения личного подсобного хозяйства и индивидуального жилищного строительства</w:t>
      </w:r>
      <w:r w:rsidRPr="0001657E">
        <w:rPr>
          <w:rFonts w:ascii="Verdana" w:hAnsi="Verdana" w:cs="Times New Roman"/>
          <w:color w:val="000000" w:themeColor="text1"/>
        </w:rPr>
        <w:t>;</w:t>
      </w:r>
    </w:p>
    <w:p w14:paraId="02D49707" w14:textId="66FD6E17" w:rsidR="00171986" w:rsidRDefault="005E2CFF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5E2CFF">
        <w:rPr>
          <w:rFonts w:ascii="Verdana" w:hAnsi="Verdana" w:cs="Times New Roman"/>
          <w:color w:val="000000" w:themeColor="text1"/>
        </w:rPr>
        <w:t>(далее – «</w:t>
      </w:r>
      <w:r w:rsidR="00C43816">
        <w:rPr>
          <w:rFonts w:ascii="Verdana" w:hAnsi="Verdana" w:cs="Times New Roman"/>
          <w:color w:val="000000" w:themeColor="text1"/>
        </w:rPr>
        <w:t>Н</w:t>
      </w:r>
      <w:r w:rsidRPr="005E2CFF">
        <w:rPr>
          <w:rFonts w:ascii="Verdana" w:hAnsi="Verdana" w:cs="Times New Roman"/>
          <w:color w:val="000000" w:themeColor="text1"/>
        </w:rPr>
        <w:t>едвижимое имущество» или «Земельны</w:t>
      </w:r>
      <w:r w:rsidR="00C43816">
        <w:rPr>
          <w:rFonts w:ascii="Verdana" w:hAnsi="Verdana" w:cs="Times New Roman"/>
          <w:color w:val="000000" w:themeColor="text1"/>
        </w:rPr>
        <w:t>й</w:t>
      </w:r>
      <w:r w:rsidRPr="005E2CFF">
        <w:rPr>
          <w:rFonts w:ascii="Verdana" w:hAnsi="Verdana" w:cs="Times New Roman"/>
          <w:color w:val="000000" w:themeColor="text1"/>
        </w:rPr>
        <w:t xml:space="preserve"> участ</w:t>
      </w:r>
      <w:r w:rsidR="00C43816">
        <w:rPr>
          <w:rFonts w:ascii="Verdana" w:hAnsi="Verdana" w:cs="Times New Roman"/>
          <w:color w:val="000000" w:themeColor="text1"/>
        </w:rPr>
        <w:t>о</w:t>
      </w:r>
      <w:r w:rsidRPr="005E2CFF">
        <w:rPr>
          <w:rFonts w:ascii="Verdana" w:hAnsi="Verdana" w:cs="Times New Roman"/>
          <w:color w:val="000000" w:themeColor="text1"/>
        </w:rPr>
        <w:t>к»).</w:t>
      </w:r>
    </w:p>
    <w:p w14:paraId="6B67E449" w14:textId="7E5B187F" w:rsidR="004F3D0F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</w:t>
      </w:r>
      <w:r w:rsidR="004F3D0F">
        <w:rPr>
          <w:rFonts w:ascii="Verdana" w:hAnsi="Verdana" w:cs="Times New Roman"/>
          <w:color w:val="000000" w:themeColor="text1"/>
        </w:rPr>
        <w:t>а</w:t>
      </w:r>
      <w:r w:rsidRPr="00921C68">
        <w:rPr>
          <w:rFonts w:ascii="Verdana" w:hAnsi="Verdana" w:cs="Times New Roman"/>
          <w:color w:val="000000" w:themeColor="text1"/>
        </w:rPr>
        <w:t xml:space="preserve"> запис</w:t>
      </w:r>
      <w:r w:rsidR="004F3D0F">
        <w:rPr>
          <w:rFonts w:ascii="Verdana" w:hAnsi="Verdana" w:cs="Times New Roman"/>
          <w:color w:val="000000" w:themeColor="text1"/>
        </w:rPr>
        <w:t>ь</w:t>
      </w:r>
      <w:r w:rsidRPr="00921C68">
        <w:rPr>
          <w:rFonts w:ascii="Verdana" w:hAnsi="Verdana" w:cs="Times New Roman"/>
          <w:color w:val="000000" w:themeColor="text1"/>
        </w:rPr>
        <w:t xml:space="preserve">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</w:t>
      </w:r>
    </w:p>
    <w:p w14:paraId="16BA9CF4" w14:textId="3A19C84A" w:rsidR="004F3D0F" w:rsidRPr="00F023AD" w:rsidRDefault="004B4C29" w:rsidP="004F3D0F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  <w:i/>
          <w:color w:val="0070C0"/>
        </w:rPr>
      </w:pPr>
      <w:r w:rsidRPr="00C94AB2">
        <w:rPr>
          <w:rFonts w:ascii="Verdana" w:hAnsi="Verdana"/>
          <w:i/>
        </w:rPr>
        <w:t xml:space="preserve">№ </w:t>
      </w:r>
      <w:r w:rsidR="00963A78" w:rsidRPr="00C94AB2">
        <w:rPr>
          <w:rFonts w:ascii="Verdana" w:hAnsi="Verdana"/>
          <w:i/>
        </w:rPr>
        <w:t xml:space="preserve">34:28:130012:51-34/126/2020-6 </w:t>
      </w:r>
      <w:r w:rsidR="004F3D0F" w:rsidRPr="00C94AB2">
        <w:rPr>
          <w:rFonts w:ascii="Verdana" w:hAnsi="Verdana"/>
          <w:i/>
        </w:rPr>
        <w:t xml:space="preserve">от </w:t>
      </w:r>
      <w:r w:rsidR="00963A78" w:rsidRPr="00C94AB2">
        <w:rPr>
          <w:rFonts w:ascii="Verdana" w:hAnsi="Verdana"/>
          <w:i/>
        </w:rPr>
        <w:t>23</w:t>
      </w:r>
      <w:r w:rsidR="004F3D0F" w:rsidRPr="00C94AB2">
        <w:rPr>
          <w:rFonts w:ascii="Verdana" w:hAnsi="Verdana"/>
          <w:i/>
        </w:rPr>
        <w:t>.0</w:t>
      </w:r>
      <w:r w:rsidR="00963A78" w:rsidRPr="00C94AB2">
        <w:rPr>
          <w:rFonts w:ascii="Verdana" w:hAnsi="Verdana"/>
          <w:i/>
        </w:rPr>
        <w:t>7</w:t>
      </w:r>
      <w:r w:rsidR="004F3D0F" w:rsidRPr="00C94AB2">
        <w:rPr>
          <w:rFonts w:ascii="Verdana" w:hAnsi="Verdana"/>
          <w:i/>
        </w:rPr>
        <w:t>.20</w:t>
      </w:r>
      <w:r w:rsidR="00963A78" w:rsidRPr="00C94AB2">
        <w:rPr>
          <w:rFonts w:ascii="Verdana" w:hAnsi="Verdana"/>
          <w:i/>
        </w:rPr>
        <w:t>20</w:t>
      </w:r>
      <w:r w:rsidR="004F3D0F" w:rsidRPr="00C94AB2">
        <w:rPr>
          <w:rFonts w:ascii="Verdana" w:hAnsi="Verdana"/>
          <w:i/>
        </w:rPr>
        <w:t xml:space="preserve">, </w:t>
      </w:r>
      <w:r w:rsidR="004F3D0F" w:rsidRPr="00F023AD">
        <w:rPr>
          <w:rFonts w:ascii="Verdana" w:hAnsi="Verdana"/>
          <w:i/>
          <w:color w:val="000000" w:themeColor="text1"/>
        </w:rPr>
        <w:t>что подтверждается Выпиской из Единого государственного реестра недвижимости</w:t>
      </w:r>
      <w:r w:rsidR="004F3D0F" w:rsidRPr="00F023AD">
        <w:rPr>
          <w:rFonts w:ascii="Verdana" w:hAnsi="Verdana"/>
          <w:i/>
          <w:color w:val="0070C0"/>
        </w:rPr>
        <w:t xml:space="preserve"> от </w:t>
      </w:r>
      <w:r w:rsidR="00963A78">
        <w:rPr>
          <w:rFonts w:ascii="Verdana" w:hAnsi="Verdana"/>
          <w:i/>
          <w:color w:val="0070C0"/>
        </w:rPr>
        <w:t>___</w:t>
      </w:r>
      <w:r w:rsidR="00C43816" w:rsidRPr="00C43816">
        <w:rPr>
          <w:rFonts w:ascii="Verdana" w:hAnsi="Verdana"/>
          <w:i/>
          <w:color w:val="0070C0"/>
        </w:rPr>
        <w:t xml:space="preserve"> № </w:t>
      </w:r>
      <w:r w:rsidR="00963A78">
        <w:rPr>
          <w:rFonts w:ascii="Verdana" w:hAnsi="Verdana"/>
          <w:i/>
          <w:color w:val="0070C0"/>
        </w:rPr>
        <w:t>_______.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3A7858D4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</w:t>
      </w:r>
      <w:r w:rsidR="00434A33">
        <w:rPr>
          <w:rFonts w:ascii="Verdana" w:hAnsi="Verdana"/>
        </w:rPr>
        <w:t>, недвижимое имущество</w:t>
      </w:r>
      <w:r w:rsidR="00434A33" w:rsidRPr="00434A33">
        <w:rPr>
          <w:rFonts w:ascii="Verdana" w:hAnsi="Verdana"/>
        </w:rPr>
        <w:t xml:space="preserve"> </w:t>
      </w:r>
      <w:r w:rsidR="00434A33" w:rsidRPr="00224F8A">
        <w:rPr>
          <w:rFonts w:ascii="Verdana" w:hAnsi="Verdana"/>
        </w:rPr>
        <w:t>не обременено правами третьих лиц</w:t>
      </w:r>
      <w:r w:rsidR="00434A33">
        <w:rPr>
          <w:rFonts w:ascii="Verdana" w:hAnsi="Verdana"/>
        </w:rPr>
        <w:t xml:space="preserve">, </w:t>
      </w:r>
      <w:r w:rsidR="00815BD4">
        <w:rPr>
          <w:rFonts w:ascii="Verdana" w:hAnsi="Verdana"/>
        </w:rPr>
        <w:t>если иное</w:t>
      </w:r>
      <w:r w:rsidR="00434A33">
        <w:rPr>
          <w:rFonts w:ascii="Verdana" w:hAnsi="Verdana"/>
        </w:rPr>
        <w:t xml:space="preserve"> прямо </w:t>
      </w:r>
      <w:r w:rsidR="00815BD4">
        <w:rPr>
          <w:rFonts w:ascii="Verdana" w:hAnsi="Verdana"/>
        </w:rPr>
        <w:t xml:space="preserve">не </w:t>
      </w:r>
      <w:r w:rsidR="00434A33">
        <w:rPr>
          <w:rFonts w:ascii="Verdana" w:hAnsi="Verdana"/>
        </w:rPr>
        <w:t>указано в Договоре</w:t>
      </w:r>
      <w:r w:rsidR="004F1B0E">
        <w:rPr>
          <w:rFonts w:ascii="Verdana" w:hAnsi="Verdana"/>
        </w:rPr>
        <w:t>.</w:t>
      </w:r>
    </w:p>
    <w:p w14:paraId="00D6FE93" w14:textId="1D4DE4CC" w:rsidR="007E78B8" w:rsidRDefault="006D3720" w:rsidP="007E78B8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1.5.1. Покупатель заявляет, что ему известно о наличии </w:t>
      </w:r>
      <w:r w:rsidR="001C07B3">
        <w:rPr>
          <w:rFonts w:ascii="Verdana" w:hAnsi="Verdana"/>
          <w:sz w:val="20"/>
          <w:szCs w:val="20"/>
        </w:rPr>
        <w:t>на земельном участке</w:t>
      </w:r>
      <w:r w:rsidR="0087351F">
        <w:rPr>
          <w:rFonts w:ascii="Verdana" w:hAnsi="Verdana"/>
          <w:sz w:val="20"/>
          <w:szCs w:val="20"/>
        </w:rPr>
        <w:t xml:space="preserve"> </w:t>
      </w:r>
      <w:r w:rsidR="003A5F37">
        <w:rPr>
          <w:rFonts w:ascii="Verdana" w:hAnsi="Verdana"/>
          <w:sz w:val="20"/>
          <w:szCs w:val="20"/>
        </w:rPr>
        <w:t xml:space="preserve">Здания: </w:t>
      </w:r>
      <w:r w:rsidR="00FD0438" w:rsidRPr="00FD0438">
        <w:rPr>
          <w:rFonts w:ascii="Verdana" w:hAnsi="Verdana"/>
          <w:sz w:val="20"/>
          <w:szCs w:val="20"/>
        </w:rPr>
        <w:t>Жило</w:t>
      </w:r>
      <w:r w:rsidR="003A5F37">
        <w:rPr>
          <w:rFonts w:ascii="Verdana" w:hAnsi="Verdana"/>
          <w:sz w:val="20"/>
          <w:szCs w:val="20"/>
        </w:rPr>
        <w:t>й</w:t>
      </w:r>
      <w:r w:rsidR="00FD0438" w:rsidRPr="00FD0438">
        <w:rPr>
          <w:rFonts w:ascii="Verdana" w:hAnsi="Verdana"/>
          <w:sz w:val="20"/>
          <w:szCs w:val="20"/>
        </w:rPr>
        <w:t xml:space="preserve"> дом</w:t>
      </w:r>
      <w:r w:rsidR="003A5F37">
        <w:rPr>
          <w:rFonts w:ascii="Verdana" w:hAnsi="Verdana"/>
          <w:sz w:val="20"/>
          <w:szCs w:val="20"/>
        </w:rPr>
        <w:t xml:space="preserve">, </w:t>
      </w:r>
      <w:r w:rsidR="00FD0438" w:rsidRPr="00FD0438">
        <w:rPr>
          <w:rFonts w:ascii="Verdana" w:hAnsi="Verdana"/>
          <w:sz w:val="20"/>
          <w:szCs w:val="20"/>
        </w:rPr>
        <w:t xml:space="preserve">площадь 652,9 </w:t>
      </w:r>
      <w:proofErr w:type="spellStart"/>
      <w:r w:rsidR="00FD0438" w:rsidRPr="00FD0438">
        <w:rPr>
          <w:rFonts w:ascii="Verdana" w:hAnsi="Verdana"/>
          <w:sz w:val="20"/>
          <w:szCs w:val="20"/>
        </w:rPr>
        <w:t>кв.м</w:t>
      </w:r>
      <w:proofErr w:type="spellEnd"/>
      <w:r w:rsidR="00FD0438" w:rsidRPr="00FD0438">
        <w:rPr>
          <w:rFonts w:ascii="Verdana" w:hAnsi="Verdana"/>
          <w:sz w:val="20"/>
          <w:szCs w:val="20"/>
        </w:rPr>
        <w:t>.</w:t>
      </w:r>
      <w:r w:rsidR="0087351F">
        <w:rPr>
          <w:rFonts w:ascii="Verdana" w:hAnsi="Verdana"/>
          <w:sz w:val="20"/>
          <w:szCs w:val="20"/>
        </w:rPr>
        <w:t>, к</w:t>
      </w:r>
      <w:r w:rsidR="0087351F" w:rsidRPr="00FD0438">
        <w:rPr>
          <w:rFonts w:ascii="Verdana" w:hAnsi="Verdana"/>
          <w:sz w:val="20"/>
          <w:szCs w:val="20"/>
        </w:rPr>
        <w:t>оличество этажей: 3, в т.ч. подземных 1</w:t>
      </w:r>
      <w:r w:rsidR="00D81CD7">
        <w:rPr>
          <w:rFonts w:ascii="Verdana" w:hAnsi="Verdana"/>
          <w:sz w:val="20"/>
          <w:szCs w:val="20"/>
        </w:rPr>
        <w:t xml:space="preserve">, </w:t>
      </w:r>
      <w:r w:rsidR="00FC0F12">
        <w:rPr>
          <w:rFonts w:ascii="Verdana" w:hAnsi="Verdana"/>
          <w:sz w:val="20"/>
          <w:szCs w:val="20"/>
        </w:rPr>
        <w:t>а</w:t>
      </w:r>
      <w:r w:rsidR="00FD0438" w:rsidRPr="00FD0438">
        <w:rPr>
          <w:rFonts w:ascii="Verdana" w:hAnsi="Verdana"/>
          <w:sz w:val="20"/>
          <w:szCs w:val="20"/>
        </w:rPr>
        <w:t>дрес: Волгоградская область, р-н. Среднеахтубинский, п. Рыбачий, ул. Новостройки, д. 31;</w:t>
      </w:r>
      <w:r w:rsidR="00FC0F12">
        <w:rPr>
          <w:rFonts w:ascii="Verdana" w:hAnsi="Verdana"/>
          <w:sz w:val="20"/>
          <w:szCs w:val="20"/>
        </w:rPr>
        <w:t xml:space="preserve"> </w:t>
      </w:r>
      <w:r w:rsidR="00FD0438" w:rsidRPr="00FD0438">
        <w:rPr>
          <w:rFonts w:ascii="Verdana" w:hAnsi="Verdana"/>
          <w:sz w:val="20"/>
          <w:szCs w:val="20"/>
        </w:rPr>
        <w:t>Кадастровый номер: 34:28:130012:1472;</w:t>
      </w:r>
      <w:r w:rsidR="00C7739B">
        <w:rPr>
          <w:rFonts w:ascii="Verdana" w:hAnsi="Verdana"/>
          <w:sz w:val="20"/>
          <w:szCs w:val="20"/>
        </w:rPr>
        <w:t xml:space="preserve"> год завершения строительства: 2014;</w:t>
      </w:r>
      <w:r w:rsidR="00A63312">
        <w:rPr>
          <w:rFonts w:ascii="Verdana" w:hAnsi="Verdana"/>
          <w:sz w:val="20"/>
          <w:szCs w:val="20"/>
        </w:rPr>
        <w:t xml:space="preserve"> </w:t>
      </w:r>
      <w:r w:rsidR="007E78B8">
        <w:rPr>
          <w:rFonts w:ascii="Verdana" w:hAnsi="Verdana"/>
          <w:sz w:val="20"/>
          <w:szCs w:val="20"/>
        </w:rPr>
        <w:t xml:space="preserve">правообладатель: Физическое лицо, </w:t>
      </w:r>
      <w:r w:rsidR="007E78B8" w:rsidRPr="007E78B8">
        <w:rPr>
          <w:rFonts w:ascii="Verdana" w:hAnsi="Verdana"/>
          <w:sz w:val="20"/>
          <w:szCs w:val="20"/>
        </w:rPr>
        <w:t>о чем в Едином государственном реестре недвижимости сделана запись о регистрации № 34-34-20/013/2014-756</w:t>
      </w:r>
      <w:r w:rsidR="007E78B8">
        <w:rPr>
          <w:rFonts w:ascii="Verdana" w:hAnsi="Verdana"/>
          <w:sz w:val="20"/>
          <w:szCs w:val="20"/>
        </w:rPr>
        <w:t xml:space="preserve"> </w:t>
      </w:r>
      <w:r w:rsidR="007E78B8" w:rsidRPr="007E78B8">
        <w:rPr>
          <w:rFonts w:ascii="Verdana" w:hAnsi="Verdana"/>
          <w:sz w:val="20"/>
          <w:szCs w:val="20"/>
        </w:rPr>
        <w:t xml:space="preserve">от </w:t>
      </w:r>
      <w:r w:rsidR="007E78B8">
        <w:rPr>
          <w:rFonts w:ascii="Verdana" w:hAnsi="Verdana"/>
          <w:sz w:val="20"/>
          <w:szCs w:val="20"/>
        </w:rPr>
        <w:t>08</w:t>
      </w:r>
      <w:r w:rsidR="007E78B8" w:rsidRPr="007E78B8">
        <w:rPr>
          <w:rFonts w:ascii="Verdana" w:hAnsi="Verdana"/>
          <w:sz w:val="20"/>
          <w:szCs w:val="20"/>
        </w:rPr>
        <w:t>.</w:t>
      </w:r>
      <w:r w:rsidR="007E78B8">
        <w:rPr>
          <w:rFonts w:ascii="Verdana" w:hAnsi="Verdana"/>
          <w:sz w:val="20"/>
          <w:szCs w:val="20"/>
        </w:rPr>
        <w:t>1</w:t>
      </w:r>
      <w:r w:rsidR="007E78B8" w:rsidRPr="007E78B8">
        <w:rPr>
          <w:rFonts w:ascii="Verdana" w:hAnsi="Verdana"/>
          <w:sz w:val="20"/>
          <w:szCs w:val="20"/>
        </w:rPr>
        <w:t>0.20</w:t>
      </w:r>
      <w:r w:rsidR="007E78B8">
        <w:rPr>
          <w:rFonts w:ascii="Verdana" w:hAnsi="Verdana"/>
          <w:sz w:val="20"/>
          <w:szCs w:val="20"/>
        </w:rPr>
        <w:t>14</w:t>
      </w:r>
      <w:r w:rsidR="007E78B8" w:rsidRPr="007E78B8">
        <w:rPr>
          <w:rFonts w:ascii="Verdana" w:hAnsi="Verdana"/>
          <w:sz w:val="20"/>
          <w:szCs w:val="20"/>
        </w:rPr>
        <w:t xml:space="preserve">, что подтверждается Выпиской из Единого государственного реестра недвижимости от </w:t>
      </w:r>
      <w:r w:rsidR="00123169" w:rsidRPr="00123169">
        <w:rPr>
          <w:rFonts w:ascii="Verdana" w:eastAsia="Times New Roman" w:hAnsi="Verdana" w:cs="Arial"/>
          <w:i/>
          <w:color w:val="0070C0"/>
          <w:sz w:val="20"/>
          <w:szCs w:val="20"/>
          <w:lang w:eastAsia="ru-RU"/>
        </w:rPr>
        <w:t>______</w:t>
      </w:r>
      <w:r w:rsidR="00C94AB2" w:rsidRPr="00C94AB2">
        <w:rPr>
          <w:rFonts w:ascii="Verdana" w:eastAsia="Times New Roman" w:hAnsi="Verdana" w:cs="Arial"/>
          <w:i/>
          <w:color w:val="0070C0"/>
          <w:sz w:val="20"/>
          <w:szCs w:val="20"/>
          <w:lang w:eastAsia="ru-RU"/>
        </w:rPr>
        <w:t xml:space="preserve"> № </w:t>
      </w:r>
      <w:r w:rsidR="00123169" w:rsidRPr="00123169">
        <w:rPr>
          <w:rFonts w:ascii="Verdana" w:eastAsia="Times New Roman" w:hAnsi="Verdana" w:cs="Arial"/>
          <w:i/>
          <w:color w:val="0070C0"/>
          <w:sz w:val="20"/>
          <w:szCs w:val="20"/>
          <w:lang w:eastAsia="ru-RU"/>
        </w:rPr>
        <w:t>____________</w:t>
      </w:r>
      <w:r w:rsidR="00FD44A7">
        <w:rPr>
          <w:rFonts w:ascii="Verdana" w:eastAsia="Times New Roman" w:hAnsi="Verdana" w:cs="Arial"/>
          <w:i/>
          <w:color w:val="0070C0"/>
          <w:sz w:val="20"/>
          <w:szCs w:val="20"/>
          <w:lang w:eastAsia="ru-RU"/>
        </w:rPr>
        <w:t xml:space="preserve"> </w:t>
      </w:r>
      <w:r w:rsidR="00FD44A7" w:rsidRPr="00002ADE">
        <w:rPr>
          <w:rFonts w:ascii="Verdana" w:hAnsi="Verdana"/>
          <w:sz w:val="20"/>
          <w:szCs w:val="20"/>
        </w:rPr>
        <w:t>(</w:t>
      </w:r>
      <w:r w:rsidR="00FD44A7">
        <w:rPr>
          <w:rFonts w:ascii="Verdana" w:hAnsi="Verdana"/>
          <w:sz w:val="20"/>
          <w:szCs w:val="20"/>
        </w:rPr>
        <w:t>далее «Здание»)</w:t>
      </w:r>
      <w:r w:rsidR="00C94AB2">
        <w:rPr>
          <w:rFonts w:ascii="Verdana" w:hAnsi="Verdana"/>
          <w:sz w:val="20"/>
          <w:szCs w:val="20"/>
        </w:rPr>
        <w:t>.</w:t>
      </w:r>
    </w:p>
    <w:p w14:paraId="14680AE2" w14:textId="59E9056F" w:rsidR="00E8403D" w:rsidRPr="00461766" w:rsidRDefault="001C07B3" w:rsidP="0046176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1.5.2. </w:t>
      </w:r>
      <w:r w:rsidR="00E8403D" w:rsidRPr="00461766">
        <w:rPr>
          <w:rFonts w:ascii="Verdana" w:hAnsi="Verdana"/>
          <w:sz w:val="20"/>
          <w:szCs w:val="20"/>
        </w:rPr>
        <w:t xml:space="preserve">На дату подписания Договора в отношении недвижимого имущества имеются следующие обременения/ограничения: </w:t>
      </w:r>
    </w:p>
    <w:p w14:paraId="67625757" w14:textId="05D2BB14" w:rsidR="00C11485" w:rsidRDefault="00DC39ED" w:rsidP="00C11485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C11485" w:rsidRPr="00C11485">
        <w:rPr>
          <w:rFonts w:ascii="Verdana" w:hAnsi="Verdana"/>
          <w:bCs/>
        </w:rPr>
        <w:t>вид ограничения (обременения): прочие ограничения прав и обременения объекта недвижимости; Срок действия: не установлен; реквизиты документа-основания: постановление администрации Среднеахтубинского района от 22.09.2003 № 552;</w:t>
      </w:r>
      <w:r w:rsidR="00C11485">
        <w:rPr>
          <w:rFonts w:ascii="Verdana" w:hAnsi="Verdana"/>
          <w:bCs/>
        </w:rPr>
        <w:t xml:space="preserve"> </w:t>
      </w:r>
      <w:r w:rsidR="00C11485" w:rsidRPr="00C11485">
        <w:rPr>
          <w:rFonts w:ascii="Verdana" w:hAnsi="Verdana"/>
          <w:bCs/>
        </w:rPr>
        <w:t>Содержание ограничения (обременения): Особый режим использования земли. Особо охраняемая природная территория</w:t>
      </w:r>
      <w:r w:rsidR="00C11485">
        <w:rPr>
          <w:rFonts w:ascii="Verdana" w:hAnsi="Verdana"/>
          <w:bCs/>
        </w:rPr>
        <w:t xml:space="preserve"> </w:t>
      </w:r>
      <w:r w:rsidR="00C11485" w:rsidRPr="00C11485">
        <w:rPr>
          <w:rFonts w:ascii="Verdana" w:hAnsi="Verdana"/>
          <w:bCs/>
        </w:rPr>
        <w:t>Волго-</w:t>
      </w:r>
      <w:proofErr w:type="spellStart"/>
      <w:r w:rsidR="00C11485" w:rsidRPr="00C11485">
        <w:rPr>
          <w:rFonts w:ascii="Verdana" w:hAnsi="Verdana"/>
          <w:bCs/>
        </w:rPr>
        <w:t>Ахтубинской</w:t>
      </w:r>
      <w:proofErr w:type="spellEnd"/>
      <w:r w:rsidR="00C11485" w:rsidRPr="00C11485">
        <w:rPr>
          <w:rFonts w:ascii="Verdana" w:hAnsi="Verdana"/>
          <w:bCs/>
        </w:rPr>
        <w:t xml:space="preserve"> поймы</w:t>
      </w:r>
      <w:r>
        <w:rPr>
          <w:rFonts w:ascii="Verdana" w:hAnsi="Verdana"/>
          <w:bCs/>
        </w:rPr>
        <w:t xml:space="preserve">; </w:t>
      </w:r>
    </w:p>
    <w:p w14:paraId="48F61013" w14:textId="609A868D" w:rsidR="00C11485" w:rsidRDefault="008432AC" w:rsidP="00905C9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  <w:r w:rsidRPr="008432AC">
        <w:rPr>
          <w:rFonts w:ascii="Verdana" w:hAnsi="Verdana"/>
          <w:bCs/>
        </w:rPr>
        <w:t xml:space="preserve">- Площадь </w:t>
      </w:r>
      <w:r>
        <w:rPr>
          <w:rFonts w:ascii="Verdana" w:hAnsi="Verdana"/>
          <w:bCs/>
        </w:rPr>
        <w:t>весь. О</w:t>
      </w:r>
      <w:r w:rsidRPr="008432AC">
        <w:rPr>
          <w:rFonts w:ascii="Verdana" w:hAnsi="Verdana"/>
          <w:bCs/>
        </w:rPr>
        <w:t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Администрации Волгоградской области "Об утверждении Положения о природном парке "Волго-</w:t>
      </w:r>
      <w:proofErr w:type="spellStart"/>
      <w:r w:rsidRPr="008432AC">
        <w:rPr>
          <w:rFonts w:ascii="Verdana" w:hAnsi="Verdana"/>
          <w:bCs/>
        </w:rPr>
        <w:t>Ахтубинская</w:t>
      </w:r>
      <w:proofErr w:type="spellEnd"/>
      <w:r w:rsidRPr="008432AC">
        <w:rPr>
          <w:rFonts w:ascii="Verdana" w:hAnsi="Verdana"/>
          <w:bCs/>
        </w:rPr>
        <w:t xml:space="preserve"> пойма" от 22.07.2016 № 389-п выдан: Администрация Волгоградской области; Содержание ограничения (обременения): Ограничения использования объектов недвижимости в границах зоны с особыми условиями использования территорий установлены в соответствии с Постановлением администрации Волгоградской области от 22.07.2016 г. №389-п "Об утверждении Положения о природном парке "Волго-</w:t>
      </w:r>
      <w:proofErr w:type="spellStart"/>
      <w:r w:rsidRPr="008432AC">
        <w:rPr>
          <w:rFonts w:ascii="Verdana" w:hAnsi="Verdana"/>
          <w:bCs/>
        </w:rPr>
        <w:t>Ахтубинская</w:t>
      </w:r>
      <w:proofErr w:type="spellEnd"/>
      <w:r w:rsidRPr="008432AC">
        <w:rPr>
          <w:rFonts w:ascii="Verdana" w:hAnsi="Verdana"/>
          <w:bCs/>
        </w:rPr>
        <w:t xml:space="preserve"> пойма". На территории природного парка устанавливается дифференцированный режим особой охраны. На всей территории природного парка запрещается: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природного парка, нарушение режима содержания памятников истории и культуры; создание новых и расширение существующих населенных пунктов, садоводческих, огороднических, дачных некоммерческих объединений граждан; предоставление земельных участков, находящихся в государственной либо муниципальной собственности (за исключением земельных участков, полностью находящихся в границах населенных пунктов) для жилой застройки и (или) изменение вида разрешенного использования земельных </w:t>
      </w:r>
      <w:r w:rsidRPr="008432AC">
        <w:rPr>
          <w:rFonts w:ascii="Verdana" w:hAnsi="Verdana"/>
          <w:bCs/>
        </w:rPr>
        <w:lastRenderedPageBreak/>
        <w:t>участков (за исключением земельных участков, полностью находящихся в границах населенных пунктов) в целях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жилой застройки; добыча полезных ископаемых (кроме участков недр местного значения, используемых для добычи подземных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вод); сброс в водные объекты сточных вод, не подвергшихся санитарной очистке, обезвреживанию; размещение отходов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производства и потребления, несанкционированный сброс отходов производства и потребления; движение и стоянка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транспортных средств вне дорог общего пользования, за исключением транспортных средств природного парка при выполнении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задач, возложенных на природный парк, собственников, владельцев и пользователей земельных участков, расположенных в</w:t>
      </w:r>
      <w:r>
        <w:rPr>
          <w:rFonts w:ascii="Verdana" w:hAnsi="Verdana"/>
          <w:bCs/>
        </w:rPr>
        <w:t xml:space="preserve"> </w:t>
      </w:r>
      <w:r w:rsidRPr="008432AC">
        <w:rPr>
          <w:rFonts w:ascii="Verdana" w:hAnsi="Verdana"/>
          <w:bCs/>
        </w:rPr>
        <w:t>границах природного парка, при осуществлении ими хозяйственной деятельности, лиц, осуществляющих хозяйственную</w:t>
      </w:r>
      <w:r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деятельность во исполнение договоров с собственниками, владельцами и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пользователями земельных участков, расположенных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в границах природного парка, органов государственной власти, государственных учреждений, осуществляющих функции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контроля и надзора, органов местного самоуправления при осуществлении возложенных на них полномочий, учреждений,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подведомственных органам государственной власти и местного самоуправления, осуществляющих деятельность по реализации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возложенных на них указанными органами полномочий; интродукция растений и животных, чуждых местным флоре и фауне;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деятельность, ведущая к сокращению численности растений, животных и других организмов, относящиеся к видам, занесенным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в Красную книгу Российской Федерации и Красную книгу Волгоградской области, и ухудшающая среду их обитания; выжигание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растительности без осуществления мер по предотвращению гибели объектов животного мира; повреждение или уничтожение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аншлагов, шлагбаумов, стендов и других предупредительных и информационных знаков, оборудованных мест отдыха;</w:t>
      </w:r>
      <w:r w:rsidR="00905C9D">
        <w:rPr>
          <w:rFonts w:ascii="Verdana" w:hAnsi="Verdana"/>
          <w:bCs/>
        </w:rPr>
        <w:t xml:space="preserve"> </w:t>
      </w:r>
      <w:r w:rsidR="00905C9D" w:rsidRPr="00905C9D">
        <w:rPr>
          <w:rFonts w:ascii="Verdana" w:hAnsi="Verdana"/>
          <w:bCs/>
        </w:rPr>
        <w:t>Реестровый номер границы: 34.28.2.233</w:t>
      </w:r>
      <w:r w:rsidR="00905C9D">
        <w:rPr>
          <w:rFonts w:ascii="Verdana" w:hAnsi="Verdana"/>
          <w:bCs/>
        </w:rPr>
        <w:t>;</w:t>
      </w:r>
    </w:p>
    <w:p w14:paraId="481331E5" w14:textId="48072DAD" w:rsidR="00451BA5" w:rsidRPr="00F355FD" w:rsidRDefault="00032333" w:rsidP="00F355F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  <w:r w:rsidRPr="008432AC">
        <w:rPr>
          <w:rFonts w:ascii="Verdana" w:hAnsi="Verdana"/>
          <w:bCs/>
        </w:rPr>
        <w:t xml:space="preserve">- Площадь </w:t>
      </w:r>
      <w:r>
        <w:rPr>
          <w:rFonts w:ascii="Verdana" w:hAnsi="Verdana"/>
          <w:bCs/>
        </w:rPr>
        <w:t>весь. О</w:t>
      </w:r>
      <w:r w:rsidRPr="00032333">
        <w:rPr>
          <w:rFonts w:ascii="Verdana" w:hAnsi="Verdana"/>
          <w:bCs/>
        </w:rPr>
        <w:t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Администрации Волгоградской области "Об утверждении Положения о природном парке "Волго-</w:t>
      </w:r>
      <w:proofErr w:type="spellStart"/>
      <w:r w:rsidRPr="00032333">
        <w:rPr>
          <w:rFonts w:ascii="Verdana" w:hAnsi="Verdana"/>
          <w:bCs/>
        </w:rPr>
        <w:t>Ахтубинская</w:t>
      </w:r>
      <w:proofErr w:type="spellEnd"/>
      <w:r w:rsidRPr="00032333">
        <w:rPr>
          <w:rFonts w:ascii="Verdana" w:hAnsi="Verdana"/>
          <w:bCs/>
        </w:rPr>
        <w:t xml:space="preserve"> пойма" от 22.07.2016 № 389-п выдан: Губернатор Волгоградской области А.И.БОЧАРОВ; постановление Администрации Волгоградской области "О внесении изменений в постановление Администрации Волгоградской области от 22 июля 2016 г. N 389-п "Об утверждении Положения о</w:t>
      </w:r>
      <w:r>
        <w:rPr>
          <w:rFonts w:ascii="Verdana" w:hAnsi="Verdana"/>
          <w:bCs/>
        </w:rPr>
        <w:t xml:space="preserve"> </w:t>
      </w:r>
      <w:r w:rsidRPr="00032333">
        <w:rPr>
          <w:rFonts w:ascii="Verdana" w:hAnsi="Verdana"/>
          <w:bCs/>
        </w:rPr>
        <w:t>природном парке "Волго-</w:t>
      </w:r>
      <w:proofErr w:type="spellStart"/>
      <w:r w:rsidRPr="00032333">
        <w:rPr>
          <w:rFonts w:ascii="Verdana" w:hAnsi="Verdana"/>
          <w:bCs/>
        </w:rPr>
        <w:t>Ахтубинская</w:t>
      </w:r>
      <w:proofErr w:type="spellEnd"/>
      <w:r w:rsidRPr="00032333">
        <w:rPr>
          <w:rFonts w:ascii="Verdana" w:hAnsi="Verdana"/>
          <w:bCs/>
        </w:rPr>
        <w:t xml:space="preserve"> пойма" от 28.01.2019 № 25-п выдан: Губернатор Волгоградской области А.И.БОЧАРОВ; Содержание ограничения (обременения): Ограничения использования объектов недвижимости в границах особо охраняемой природной территории установлены в соответствии с Постановлением администрации Волгоградской области от 22.07.2016 г. №389-п "Об утверждении Положения о природном парке "Волго-</w:t>
      </w:r>
      <w:proofErr w:type="spellStart"/>
      <w:r w:rsidRPr="00032333">
        <w:rPr>
          <w:rFonts w:ascii="Verdana" w:hAnsi="Verdana"/>
          <w:bCs/>
        </w:rPr>
        <w:t>Ахтубинская</w:t>
      </w:r>
      <w:proofErr w:type="spellEnd"/>
      <w:r w:rsidRPr="00032333">
        <w:rPr>
          <w:rFonts w:ascii="Verdana" w:hAnsi="Verdana"/>
          <w:bCs/>
        </w:rPr>
        <w:t xml:space="preserve"> пойма", с учетом внесенных изменений постановлением Администрации Волгоградской обл. от 28.01.2019 N 25-п. На всей территории природного парка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природного парка, нарушение режима содержания памятников истории и культуры, в том числе: создание (размещение) новых и расширение существующих населенных пунктов, территорий ведения</w:t>
      </w:r>
      <w:r w:rsidR="00565856">
        <w:rPr>
          <w:rFonts w:ascii="Verdana" w:hAnsi="Verdana"/>
          <w:bCs/>
        </w:rPr>
        <w:t xml:space="preserve"> </w:t>
      </w:r>
      <w:r w:rsidRPr="00032333">
        <w:rPr>
          <w:rFonts w:ascii="Verdana" w:hAnsi="Verdana"/>
          <w:bCs/>
        </w:rPr>
        <w:t>гражданами садоводства или огородничества для собственных нужд, а также расширение существующих территорий дачных некоммерческих объединений граждан; предоставление земельных участков, находящихся в государственной либо муниципальной собственности (за исключением земельных участков, полностью находящихся в границах населенных пунктов), для жилой застройки, ведения садоводства, огородничества и (или) изменение вида разрешенного использования земельных участков (за исключением земельных участков, полностью находящихся в границах населенных пунктов) в целях жилой застройки, ведения садоводства, огородничества; геологическое изучение, разведка и добыча полезных ископаемых, за исключением подземных вод, используемых для целей питьевого и хозяйственно-бытового водоснабжения населения или</w:t>
      </w:r>
      <w:r w:rsidR="009B4F93">
        <w:rPr>
          <w:rFonts w:ascii="Verdana" w:hAnsi="Verdana"/>
          <w:bCs/>
        </w:rPr>
        <w:t xml:space="preserve"> </w:t>
      </w:r>
      <w:r w:rsidR="00451BA5" w:rsidRPr="009B4F93">
        <w:rPr>
          <w:rFonts w:ascii="Verdana" w:hAnsi="Verdana"/>
          <w:bCs/>
        </w:rPr>
        <w:t xml:space="preserve">технологического обеспечения водой объектов промышленного или сельскохозяйственного назначения, а также за исключением разработки разведанных месторождений общераспространенных полезных ископаемых на участках недр местного значения Волгоградской области; деятельность, приводящая к захламлению, загрязнению, деградации земель, гибели растительного покрова; деятельность, влекущая за собой изменение гидрологического режима; несанкционированное размещение либо сброс отходов производства и потребления; </w:t>
      </w:r>
      <w:r w:rsidR="00451BA5" w:rsidRPr="009B4F93">
        <w:rPr>
          <w:rFonts w:ascii="Verdana" w:hAnsi="Verdana"/>
          <w:bCs/>
        </w:rPr>
        <w:lastRenderedPageBreak/>
        <w:t>сброс в водные объекты сточных вод, не подвергшихся санитарной очистке,</w:t>
      </w:r>
      <w:r w:rsidR="009B4F93">
        <w:rPr>
          <w:rFonts w:ascii="Verdana" w:hAnsi="Verdana"/>
          <w:bCs/>
        </w:rPr>
        <w:t xml:space="preserve"> </w:t>
      </w:r>
      <w:r w:rsidR="00451BA5" w:rsidRPr="009B4F93">
        <w:rPr>
          <w:rFonts w:ascii="Verdana" w:hAnsi="Verdana"/>
          <w:bCs/>
        </w:rPr>
        <w:t>обезвреживанию; мойка и техническое обслуживание транспортных средств вне специально оборудованных мест; движение и стоянка автотранспортных средств вне дорог общего пользования, внутрихозяйственных дорог, а также вне утвержденных маршрутов передвижения автотранспортных средств к объектам рекреации и местам для их размещения (стоянки), за исключением специальных транспортных средств, осуществляющих спасательные операции, обеспечивающих оказание медицинской помощи населению, предупреждение аварий и чрезвычайных ситуаций, ликвидацию их последствий, а также транспортных средств правоохранительных органов, контрольно-надзорных органов при осуществлении своих полномочий; распашка земель (за исключением земель с соответствующим видом разрешенного использования земельных участков); интродукция растений и животных, чуждых местным флоре и фауне; уничтожение растений, животных и других организмов, относящихся к видам, занесенным в Красную книгу Российской Федерации и Красную книгу Волгоградской области, а также деятельность, ведущая к сокращению их численности и ухудшающая среду их обитания; выжигание растительности; проведение рубок дубов; сенокошение вкруговую (от края к центру); выпас сельскохозяйственных животных, их прогон, а также организация для них летних лагерей на территории прибрежных защитных полос водных объектов и дубрав; промысловая охота, любительская и спортивная охота в весенний период; промышленное рыболовство, рыболовство в целях аквакультуры (рыбоводства), за исключением ранее созданных рыбоводных участков; разведение костров, разбивка бивуаков, привалов, палаточных городков и туристических стоянок за пределами специально предусмотренных для этого мест; уничтожение или</w:t>
      </w:r>
      <w:r w:rsidR="009B4F93">
        <w:rPr>
          <w:rFonts w:ascii="Verdana" w:hAnsi="Verdana"/>
          <w:bCs/>
        </w:rPr>
        <w:t xml:space="preserve"> </w:t>
      </w:r>
      <w:r w:rsidR="00451BA5" w:rsidRPr="009B4F93">
        <w:rPr>
          <w:rFonts w:ascii="Verdana" w:hAnsi="Verdana"/>
          <w:bCs/>
        </w:rPr>
        <w:t>повреждение аншлагов, шлагбаумов, стендов, граничных столбов и других информационных знаков и указателей, оборудованных экологических троп и мест отдыха, имущества государственного бюджетного учреждения Волгоградской области "Природный парк "Волго-</w:t>
      </w:r>
      <w:proofErr w:type="spellStart"/>
      <w:r w:rsidR="00451BA5" w:rsidRPr="009B4F93">
        <w:rPr>
          <w:rFonts w:ascii="Verdana" w:hAnsi="Verdana"/>
          <w:bCs/>
        </w:rPr>
        <w:t>Ахтубинская</w:t>
      </w:r>
      <w:proofErr w:type="spellEnd"/>
      <w:r w:rsidR="00451BA5" w:rsidRPr="009B4F93">
        <w:rPr>
          <w:rFonts w:ascii="Verdana" w:hAnsi="Verdana"/>
          <w:bCs/>
        </w:rPr>
        <w:t xml:space="preserve"> пойма", несанкционированное нанесение надписей и знаков на указанные объекты, а также на деревья и историко-культурные объекты. На всей территории природного парка допускается: государственный экологический мониторинг (государственный мониторинг окружающей среды); инженерно-геологические изыскания; выпас и</w:t>
      </w:r>
      <w:r w:rsidR="009B4F93">
        <w:rPr>
          <w:rFonts w:ascii="Verdana" w:hAnsi="Verdana"/>
          <w:bCs/>
        </w:rPr>
        <w:t xml:space="preserve"> </w:t>
      </w:r>
      <w:r w:rsidR="00451BA5" w:rsidRPr="009B4F93">
        <w:rPr>
          <w:rFonts w:ascii="Verdana" w:hAnsi="Verdana"/>
          <w:bCs/>
        </w:rPr>
        <w:t>прогон сельскохозяйственных животных на земельных участках, использование которых в указанных целях согласовано с комитетом природных ресурсов, лесного хозяйства и экологии Волгоградской области в установленном им порядке; мероприятия, направленные на сохранение и восстановление природных комплексов и природных объектов; мероприятия по охране редких и находящихся под угрозой исчезновения видов растений и животных, занесенных в Красную книгу Российской Федерации и Красную книгу Волгоградской области, а также среды их произрастания и обитания; мероприятия по обеспечению</w:t>
      </w:r>
      <w:r w:rsidR="00F355FD">
        <w:rPr>
          <w:rFonts w:ascii="Verdana" w:hAnsi="Verdana"/>
          <w:bCs/>
        </w:rPr>
        <w:t xml:space="preserve"> </w:t>
      </w:r>
      <w:r w:rsidR="00F355FD" w:rsidRPr="00F355FD">
        <w:rPr>
          <w:rFonts w:ascii="Verdana" w:hAnsi="Verdana"/>
          <w:bCs/>
        </w:rPr>
        <w:t>противопожарной безопасности, а также профилактические мероприятия, способствующие улучшению условий среды обитания редких и исчезающих видов растений и животных; рубка древесно-кустарниковой растительности на землях сельскохозяйственного назначения [за исключением сельскохозяйственных угодий, используемых в качестве пастбищ и сенокосов, а также лесных насаждений, предназначенных для обеспечения защиты земель от воздействия негативных (вредных) природных, антропогенных и техногенных явлений]; мероприятия по защите лесов; научно-исследовательская и эколого-просветительская работа. Использование лесных участков из состава земель лесного фонда, расположенных в границах природного парка, и ведение лесного хозяйства на них осуществляются в соответствии с лесным планом Волгоградской области и лесохозяйственными регламентами лесничеств. Эколого-туристическая деятельность осуществляется в соответствии с порядком, утвержденным приказом комитета природных ресурсов, лесного хозяйства и экологии Волгоградской области.; Реестровый номер границы: 34:28-6.329; Вид объекта реестра границ: Зона с особыми условиями использования территории; Вид зоны по документу: Территория природного парка "Волго-</w:t>
      </w:r>
      <w:proofErr w:type="spellStart"/>
      <w:r w:rsidR="00F355FD" w:rsidRPr="00F355FD">
        <w:rPr>
          <w:rFonts w:ascii="Verdana" w:hAnsi="Verdana"/>
          <w:bCs/>
        </w:rPr>
        <w:t>Ахтубинская</w:t>
      </w:r>
      <w:proofErr w:type="spellEnd"/>
      <w:r w:rsidR="00F355FD" w:rsidRPr="00F355FD">
        <w:rPr>
          <w:rFonts w:ascii="Verdana" w:hAnsi="Verdana"/>
          <w:bCs/>
        </w:rPr>
        <w:t xml:space="preserve"> пойма", расположенного в границах Среднеахтубинского муниципального района Волгоградской области</w:t>
      </w:r>
      <w:r w:rsidR="00F355FD">
        <w:rPr>
          <w:rFonts w:ascii="Verdana" w:hAnsi="Verdana"/>
          <w:bCs/>
        </w:rPr>
        <w:t>.</w:t>
      </w:r>
    </w:p>
    <w:p w14:paraId="5CEF65AE" w14:textId="704FF452" w:rsidR="0034333C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Verdana"/>
          <w:color w:val="000000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</w:t>
      </w:r>
      <w:r>
        <w:rPr>
          <w:rFonts w:ascii="Verdana" w:hAnsi="Verdana" w:cs="Verdana"/>
          <w:color w:val="000000"/>
        </w:rPr>
        <w:lastRenderedPageBreak/>
        <w:t>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465CF2B6" w14:textId="58D2C3F8" w:rsidR="00FD44A7" w:rsidRDefault="00FD44A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1.7. </w:t>
      </w:r>
      <w:r w:rsidRPr="00123169">
        <w:rPr>
          <w:rFonts w:ascii="Verdana" w:hAnsi="Verdana" w:cs="Times New Roman"/>
        </w:rPr>
        <w:t>При продаже недвижимого имущества Собственник Здания, находящегося на земельном участке, имеет преимущественное право покупки недвижимого имущества (п.3 ст. 35 Земельного кодекса РФ).</w:t>
      </w:r>
    </w:p>
    <w:p w14:paraId="2ED0CD08" w14:textId="06F56D21" w:rsidR="00930C60" w:rsidRPr="008509DF" w:rsidRDefault="009922BE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123169">
        <w:rPr>
          <w:rFonts w:ascii="Verdana" w:hAnsi="Verdana" w:cs="Times New Roman"/>
        </w:rPr>
        <w:t>1.</w:t>
      </w:r>
      <w:r w:rsidR="00123169" w:rsidRPr="00D51DBF">
        <w:rPr>
          <w:rFonts w:ascii="Verdana" w:hAnsi="Verdana" w:cs="Times New Roman"/>
        </w:rPr>
        <w:t>8</w:t>
      </w:r>
      <w:r w:rsidRPr="00123169">
        <w:rPr>
          <w:rFonts w:ascii="Verdana" w:hAnsi="Verdana" w:cs="Times New Roman"/>
        </w:rPr>
        <w:t xml:space="preserve">. </w:t>
      </w:r>
      <w:r w:rsidRPr="00C4089F">
        <w:rPr>
          <w:rFonts w:ascii="Verdana" w:hAnsi="Verdana" w:cs="Times New Roman"/>
        </w:rPr>
        <w:t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настоящему Договору возникнут в случае, если Собственник Здания, находящегося на земельном участке, откажется от преимущественного права покупки недвижимого имущества (заявив письменный отказ от преимущественного права покупки или не уведомив в письменной форме Продавца о намерении приобрести недвижимое имущество в течение 30 (Тридцати) дней со дня поступления извещения Продавца о намерении продать недвижимое имущество) (далее – «Отлагательное условие»). В случае не наступления Отлагательного условия отношения Сторон прекращаются.</w:t>
      </w:r>
    </w:p>
    <w:p w14:paraId="41E73E3B" w14:textId="0EFA6F0B" w:rsidR="00B0682E" w:rsidRDefault="007842DD" w:rsidP="007842D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123169">
        <w:rPr>
          <w:rFonts w:ascii="Verdana" w:hAnsi="Verdana" w:cs="Times New Roman"/>
        </w:rPr>
        <w:t>1.</w:t>
      </w:r>
      <w:r w:rsidR="00123169" w:rsidRPr="00123169">
        <w:rPr>
          <w:rFonts w:ascii="Verdana" w:hAnsi="Verdana" w:cs="Times New Roman"/>
        </w:rPr>
        <w:t>9</w:t>
      </w:r>
      <w:r w:rsidRPr="00123169">
        <w:rPr>
          <w:rFonts w:ascii="Verdana" w:hAnsi="Verdana" w:cs="Times New Roman"/>
        </w:rPr>
        <w:t xml:space="preserve">. Продавец обязуется в течение 3 (Трех) рабочих дней с даты подписания протокола об итогах Торгов или ранее известить Собственника Здания, находящегося на земельном участке, о намерении продать недвижимое имущество. При этом Продавец обязуется в течение 100 (Сто) дней с даты заключения настоящего Договора направить в адрес Покупателя уведомление о наступлении или </w:t>
      </w:r>
      <w:proofErr w:type="spellStart"/>
      <w:r w:rsidRPr="00123169">
        <w:rPr>
          <w:rFonts w:ascii="Verdana" w:hAnsi="Verdana" w:cs="Times New Roman"/>
        </w:rPr>
        <w:t>ненаступлении</w:t>
      </w:r>
      <w:proofErr w:type="spellEnd"/>
      <w:r w:rsidRPr="00123169">
        <w:rPr>
          <w:rFonts w:ascii="Verdana" w:hAnsi="Verdana" w:cs="Times New Roman"/>
        </w:rPr>
        <w:t xml:space="preserve">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купли-продажи недвижимого имущества.</w:t>
      </w:r>
    </w:p>
    <w:p w14:paraId="0A3F5AC9" w14:textId="11E6B1D4" w:rsidR="00F052DD" w:rsidRPr="008F7C62" w:rsidRDefault="00F052DD" w:rsidP="0012316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123169">
        <w:rPr>
          <w:rFonts w:ascii="Verdana" w:hAnsi="Verdana" w:cs="Times New Roman"/>
        </w:rPr>
        <w:t>1.</w:t>
      </w:r>
      <w:r w:rsidR="00123169" w:rsidRPr="007856B2">
        <w:rPr>
          <w:rFonts w:ascii="Verdana" w:hAnsi="Verdana" w:cs="Times New Roman"/>
        </w:rPr>
        <w:t>10</w:t>
      </w:r>
      <w:r w:rsidRPr="00123169">
        <w:rPr>
          <w:rFonts w:ascii="Verdana" w:hAnsi="Verdana" w:cs="Times New Roman"/>
        </w:rPr>
        <w:t xml:space="preserve">. </w:t>
      </w:r>
      <w:r w:rsidRPr="008F7C62">
        <w:rPr>
          <w:rFonts w:ascii="Verdana" w:hAnsi="Verdana" w:cs="Times New Roman"/>
        </w:rPr>
        <w:t>Датой получения Покупателем уведомления о наступлении Отлагательного условия будет считаться:</w:t>
      </w:r>
    </w:p>
    <w:p w14:paraId="3B8A980D" w14:textId="77777777" w:rsidR="00F052DD" w:rsidRPr="0059500E" w:rsidRDefault="00F052DD" w:rsidP="0012316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FD44A7">
        <w:rPr>
          <w:rFonts w:ascii="Verdana" w:hAnsi="Verdana" w:cs="Times New Roman"/>
        </w:rPr>
        <w:t xml:space="preserve">- при направлении уведомления заказным письмом с уведомлением о вручении – дата получения уведомления получающей Стороной, либо в случае неполучения (уклонения) получающей Стороной – дата доставки в почтовое отделение по месту нахождения Покупателя; </w:t>
      </w:r>
    </w:p>
    <w:p w14:paraId="4EF80C0E" w14:textId="77777777" w:rsidR="00F052DD" w:rsidRPr="00123169" w:rsidRDefault="00F052DD" w:rsidP="0012316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123169">
        <w:rPr>
          <w:rFonts w:ascii="Verdana" w:hAnsi="Verdana" w:cs="Times New Roman"/>
        </w:rPr>
        <w:t>- при направлении курьерской доставкой – дата, указанная курьерской организацией как дата вручения уведомления по адресу получающей Стороны.</w:t>
      </w:r>
    </w:p>
    <w:p w14:paraId="4E14AD0B" w14:textId="1CF34D0E" w:rsidR="00F052DD" w:rsidRDefault="00F052DD" w:rsidP="00F052D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123169">
        <w:rPr>
          <w:rFonts w:ascii="Verdana" w:hAnsi="Verdana" w:cs="Times New Roman"/>
        </w:rPr>
        <w:t>- при доставке уполномоченному представителю получающей Стороны – дата, проставленная получающей Стороной в дату получения уведомления на копии уведомления, свидетельствующая о получении уведомления, получающей Стороной.</w:t>
      </w:r>
    </w:p>
    <w:p w14:paraId="48EBC3AA" w14:textId="77777777" w:rsidR="007842DD" w:rsidRPr="00F77355" w:rsidRDefault="007842D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683F21E3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DD668A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09E52A1E" w14:textId="4E24BC7D" w:rsidR="006955DD" w:rsidRPr="007051FF" w:rsidRDefault="006955DD" w:rsidP="00DD668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DD668A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4B78B867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DD668A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DD66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78A6ABF3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>.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 (Б)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5686F47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805D02">
        <w:rPr>
          <w:rFonts w:ascii="Verdana" w:hAnsi="Verdana" w:cs="Verdana"/>
          <w:i/>
          <w:color w:val="0070C0"/>
        </w:rPr>
        <w:t>129 000,00</w:t>
      </w:r>
      <w:r w:rsidR="00CB6D50">
        <w:rPr>
          <w:rFonts w:ascii="Verdana" w:hAnsi="Verdana" w:cs="Verdana"/>
          <w:i/>
          <w:color w:val="0070C0"/>
        </w:rPr>
        <w:t xml:space="preserve"> (</w:t>
      </w:r>
      <w:r w:rsidR="005124DC">
        <w:rPr>
          <w:rFonts w:ascii="Verdana" w:hAnsi="Verdana" w:cs="Verdana"/>
          <w:i/>
          <w:color w:val="0070C0"/>
        </w:rPr>
        <w:t>Сто двадцать девять тысяч</w:t>
      </w:r>
      <w:r w:rsidR="00CB6D50">
        <w:rPr>
          <w:rFonts w:ascii="Verdana" w:hAnsi="Verdana" w:cs="Verdana"/>
          <w:color w:val="0070C0"/>
        </w:rPr>
        <w:t>)</w:t>
      </w:r>
      <w:r w:rsidR="00CB6D50">
        <w:rPr>
          <w:rFonts w:ascii="Verdana" w:hAnsi="Verdana" w:cs="Verdana"/>
          <w:color w:val="000000"/>
        </w:rPr>
        <w:t xml:space="preserve"> рублей </w:t>
      </w:r>
      <w:r w:rsidR="005124DC">
        <w:rPr>
          <w:rFonts w:ascii="Verdana" w:hAnsi="Verdana" w:cs="Verdana"/>
          <w:color w:val="000000"/>
        </w:rPr>
        <w:t>00</w:t>
      </w:r>
      <w:r w:rsidR="00CB6D50">
        <w:rPr>
          <w:rFonts w:ascii="Verdana" w:hAnsi="Verdana" w:cs="Verdana"/>
          <w:color w:val="000000"/>
        </w:rPr>
        <w:t xml:space="preserve"> копеек </w:t>
      </w:r>
      <w:r w:rsidR="00CB6D50">
        <w:rPr>
          <w:rFonts w:ascii="Verdana" w:hAnsi="Verdana" w:cs="Verdana"/>
          <w:i/>
          <w:color w:val="0070C0"/>
        </w:rPr>
        <w:t>(НДС не облагается)</w:t>
      </w:r>
      <w:r w:rsidR="00CB6D50"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9C7B981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</w:t>
      </w:r>
      <w:r w:rsidR="00CB77F4">
        <w:rPr>
          <w:rFonts w:ascii="Verdana" w:hAnsi="Verdana"/>
        </w:rPr>
        <w:t xml:space="preserve"> имущества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74A2E83B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lastRenderedPageBreak/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6A08649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EF3C40">
        <w:rPr>
          <w:rFonts w:ascii="Verdana" w:hAnsi="Verdana"/>
          <w:color w:val="000000" w:themeColor="text1"/>
        </w:rPr>
        <w:t xml:space="preserve"> и полной оплаты цены недвижимого имущества по Договору</w:t>
      </w:r>
      <w:r w:rsidR="006955DD" w:rsidRPr="007051FF">
        <w:rPr>
          <w:rFonts w:ascii="Verdana" w:hAnsi="Verdana"/>
          <w:color w:val="000000" w:themeColor="text1"/>
        </w:rPr>
        <w:t>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DD668A">
        <w:tc>
          <w:tcPr>
            <w:tcW w:w="2410" w:type="dxa"/>
          </w:tcPr>
          <w:p w14:paraId="4CF07BDE" w14:textId="4CACB183" w:rsidR="005C3519" w:rsidRPr="00214013" w:rsidRDefault="005C3519" w:rsidP="0007346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="0007346B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расчетах по аккредитиву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DD668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AF28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0AC8E61E" w:rsidR="00046C89" w:rsidRPr="0055668A" w:rsidRDefault="00046C89" w:rsidP="00CA5D0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CA5D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635DA0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635DA0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635DA0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635DA0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635DA0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635DA0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35DA0">
        <w:rPr>
          <w:rFonts w:ascii="Verdana" w:eastAsia="Times New Roman" w:hAnsi="Verdana" w:cs="Times New Roman"/>
          <w:b/>
          <w:sz w:val="20"/>
          <w:szCs w:val="20"/>
          <w:lang w:eastAsia="ru-RU"/>
        </w:rPr>
        <w:t>11. 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20CD075B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35DA0">
        <w:rPr>
          <w:rFonts w:ascii="Verdana" w:hAnsi="Verdana"/>
          <w:sz w:val="20"/>
          <w:szCs w:val="20"/>
        </w:rPr>
        <w:t>11.1.</w:t>
      </w:r>
      <w:r w:rsidR="00635D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49FEBA6" w:rsidR="00180DA7" w:rsidRPr="00214013" w:rsidRDefault="00635DA0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5DA0"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>2</w:t>
      </w:r>
      <w:r w:rsidRPr="00635DA0">
        <w:rPr>
          <w:rFonts w:ascii="Verdana" w:hAnsi="Verdana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0DA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435424CB" w14:textId="362024FC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D668A">
        <w:rPr>
          <w:rFonts w:ascii="Verdana" w:hAnsi="Verdana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DD668A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DD66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DD668A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DD668A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DD668A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DD668A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0A379DC2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67D9">
        <w:rPr>
          <w:rFonts w:ascii="Verdana" w:hAnsi="Verdana"/>
          <w:sz w:val="20"/>
          <w:szCs w:val="20"/>
        </w:rPr>
        <w:t>11</w:t>
      </w:r>
      <w:r w:rsidRPr="00CC67D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12ABD686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67D9">
        <w:rPr>
          <w:rFonts w:ascii="Verdana" w:hAnsi="Verdana"/>
          <w:sz w:val="20"/>
          <w:szCs w:val="20"/>
        </w:rPr>
        <w:t>11</w:t>
      </w:r>
      <w:r w:rsidRPr="00CC67D9">
        <w:rPr>
          <w:rFonts w:ascii="Verdana" w:eastAsia="Times New Roman" w:hAnsi="Verdana" w:cs="Times New Roman"/>
          <w:sz w:val="20"/>
          <w:szCs w:val="20"/>
          <w:lang w:eastAsia="ru-RU"/>
        </w:rPr>
        <w:t>.5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CC67D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DD668A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DD66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DD668A">
              <w:tc>
                <w:tcPr>
                  <w:tcW w:w="7609" w:type="dxa"/>
                </w:tcPr>
                <w:p w14:paraId="5E5084A3" w14:textId="5A9516F5" w:rsidR="00180DA7" w:rsidRPr="00214013" w:rsidRDefault="00180DA7" w:rsidP="00DD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DD668A">
              <w:tc>
                <w:tcPr>
                  <w:tcW w:w="7609" w:type="dxa"/>
                </w:tcPr>
                <w:p w14:paraId="7B2875BF" w14:textId="77777777" w:rsidR="00180DA7" w:rsidRPr="00214013" w:rsidRDefault="00180DA7" w:rsidP="00DD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DD668A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DD668A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DD668A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DD668A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DD668A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DD668A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DD668A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DD668A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DD668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DD668A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DD668A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DD668A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DD668A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DD668A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DD668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DD668A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DD668A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DD668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DD668A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DD668A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DD668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DD668A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DD668A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DD668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DD668A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DD668A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DD668A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DD668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DD668A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DD668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413BBBD8" w:rsidR="007F6AF6" w:rsidRPr="009C7E24" w:rsidRDefault="007F6AF6" w:rsidP="00DD668A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имущество: </w:t>
            </w:r>
          </w:p>
          <w:p w14:paraId="7916CACA" w14:textId="087E4DB6" w:rsidR="007F6AF6" w:rsidRDefault="007F6AF6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F423305" w14:textId="506A8E45" w:rsidR="00476BFC" w:rsidRDefault="006E54D0" w:rsidP="006E54D0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  <w:color w:val="000000" w:themeColor="text1"/>
              </w:rPr>
            </w:pPr>
            <w:r w:rsidRPr="0001657E">
              <w:rPr>
                <w:rFonts w:ascii="Verdana" w:hAnsi="Verdana" w:cs="Times New Roman"/>
                <w:color w:val="000000" w:themeColor="text1"/>
              </w:rPr>
              <w:t xml:space="preserve">Земельный участок, общая площадь: </w:t>
            </w:r>
            <w:r>
              <w:rPr>
                <w:rFonts w:ascii="Verdana" w:hAnsi="Verdana" w:cs="Times New Roman"/>
                <w:color w:val="000000" w:themeColor="text1"/>
              </w:rPr>
              <w:t>2 5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00 </w:t>
            </w:r>
            <w:proofErr w:type="spellStart"/>
            <w:proofErr w:type="gramStart"/>
            <w:r w:rsidRPr="0001657E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proofErr w:type="gramEnd"/>
            <w:r w:rsidRPr="0001657E">
              <w:rPr>
                <w:rFonts w:ascii="Verdana" w:hAnsi="Verdana" w:cs="Times New Roman"/>
                <w:color w:val="000000" w:themeColor="text1"/>
              </w:rPr>
              <w:t xml:space="preserve">; местоположение (адрес): 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rFonts w:ascii="Verdana" w:hAnsi="Verdana" w:cs="Times New Roman"/>
                <w:color w:val="000000" w:themeColor="text1"/>
              </w:rPr>
              <w:t>Волгоградская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 обл</w:t>
            </w:r>
            <w:r>
              <w:rPr>
                <w:rFonts w:ascii="Verdana" w:hAnsi="Verdana" w:cs="Times New Roman"/>
                <w:color w:val="000000" w:themeColor="text1"/>
              </w:rPr>
              <w:t>.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, р-н. </w:t>
            </w:r>
            <w:r>
              <w:rPr>
                <w:rFonts w:ascii="Verdana" w:hAnsi="Verdana" w:cs="Times New Roman"/>
                <w:color w:val="000000" w:themeColor="text1"/>
              </w:rPr>
              <w:t>Среднеахтубинский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>п. Рыбачий, ул. Новостройки, 31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; Кадастровый номер: </w:t>
            </w:r>
            <w:r w:rsidRPr="009F45D1">
              <w:rPr>
                <w:rFonts w:ascii="Verdana" w:hAnsi="Verdana" w:cs="Times New Roman"/>
                <w:color w:val="000000" w:themeColor="text1"/>
              </w:rPr>
              <w:t>34:28:130012:51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; </w:t>
            </w:r>
            <w:r w:rsidRPr="0001657E">
              <w:rPr>
                <w:rFonts w:ascii="Verdana" w:hAnsi="Verdana" w:cs="Times New Roman"/>
                <w:color w:val="000000" w:themeColor="text1"/>
              </w:rPr>
              <w:lastRenderedPageBreak/>
              <w:t xml:space="preserve">Категория земель: </w:t>
            </w:r>
            <w:r>
              <w:rPr>
                <w:rFonts w:ascii="Verdana" w:hAnsi="Verdana" w:cs="Times New Roman"/>
                <w:color w:val="000000" w:themeColor="text1"/>
              </w:rPr>
              <w:t>з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емли сельскохозяйственного назначения; Вид разрешенного использования: </w:t>
            </w:r>
            <w:r>
              <w:rPr>
                <w:rFonts w:ascii="Verdana" w:hAnsi="Verdana" w:cs="Times New Roman"/>
                <w:color w:val="000000" w:themeColor="text1"/>
              </w:rPr>
              <w:t>д</w:t>
            </w:r>
            <w:r w:rsidRPr="009C7203">
              <w:rPr>
                <w:rFonts w:ascii="Verdana" w:hAnsi="Verdana" w:cs="Times New Roman"/>
                <w:color w:val="000000" w:themeColor="text1"/>
              </w:rPr>
              <w:t>ля ведения личного подсобного хозяйства и индивидуального жилищного строительства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</w:t>
            </w:r>
            <w:r w:rsidRPr="005E2CFF">
              <w:rPr>
                <w:rFonts w:ascii="Verdana" w:hAnsi="Verdana" w:cs="Times New Roman"/>
                <w:color w:val="000000" w:themeColor="text1"/>
              </w:rPr>
              <w:t>(далее – «</w:t>
            </w:r>
            <w:r>
              <w:rPr>
                <w:rFonts w:ascii="Verdana" w:hAnsi="Verdana" w:cs="Times New Roman"/>
                <w:color w:val="000000" w:themeColor="text1"/>
              </w:rPr>
              <w:t>Н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едвижимое имущество» или «Земельны</w:t>
            </w:r>
            <w:r>
              <w:rPr>
                <w:rFonts w:ascii="Verdana" w:hAnsi="Verdana" w:cs="Times New Roman"/>
                <w:color w:val="000000" w:themeColor="text1"/>
              </w:rPr>
              <w:t>й</w:t>
            </w:r>
            <w:r w:rsidRPr="005E2CFF">
              <w:rPr>
                <w:rFonts w:ascii="Verdana" w:hAnsi="Verdana" w:cs="Times New Roman"/>
                <w:color w:val="000000" w:themeColor="text1"/>
              </w:rPr>
              <w:t xml:space="preserve"> участ</w:t>
            </w:r>
            <w:r>
              <w:rPr>
                <w:rFonts w:ascii="Verdana" w:hAnsi="Verdana" w:cs="Times New Roman"/>
                <w:color w:val="000000" w:themeColor="text1"/>
              </w:rPr>
              <w:t>о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к»).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DD668A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DD668A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DD668A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DD6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DD668A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5CAEC6F" w14:textId="4215B9D2" w:rsidR="00476BFC" w:rsidRDefault="006E54D0" w:rsidP="00476BFC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  <w:color w:val="000000" w:themeColor="text1"/>
              </w:rPr>
            </w:pPr>
            <w:r w:rsidRPr="0001657E">
              <w:rPr>
                <w:rFonts w:ascii="Verdana" w:hAnsi="Verdana" w:cs="Times New Roman"/>
                <w:color w:val="000000" w:themeColor="text1"/>
              </w:rPr>
              <w:t xml:space="preserve">Земельный участок, общая площадь: </w:t>
            </w:r>
            <w:r>
              <w:rPr>
                <w:rFonts w:ascii="Verdana" w:hAnsi="Verdana" w:cs="Times New Roman"/>
                <w:color w:val="000000" w:themeColor="text1"/>
              </w:rPr>
              <w:t>2 5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00 </w:t>
            </w:r>
            <w:proofErr w:type="spellStart"/>
            <w:proofErr w:type="gramStart"/>
            <w:r w:rsidRPr="0001657E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proofErr w:type="gramEnd"/>
            <w:r w:rsidRPr="0001657E">
              <w:rPr>
                <w:rFonts w:ascii="Verdana" w:hAnsi="Verdana" w:cs="Times New Roman"/>
                <w:color w:val="000000" w:themeColor="text1"/>
              </w:rPr>
              <w:t xml:space="preserve">; местоположение (адрес): 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rFonts w:ascii="Verdana" w:hAnsi="Verdana" w:cs="Times New Roman"/>
                <w:color w:val="000000" w:themeColor="text1"/>
              </w:rPr>
              <w:t>Волгоградская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 обл</w:t>
            </w:r>
            <w:r>
              <w:rPr>
                <w:rFonts w:ascii="Verdana" w:hAnsi="Verdana" w:cs="Times New Roman"/>
                <w:color w:val="000000" w:themeColor="text1"/>
              </w:rPr>
              <w:t>.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, р-н. </w:t>
            </w:r>
            <w:r>
              <w:rPr>
                <w:rFonts w:ascii="Verdana" w:hAnsi="Verdana" w:cs="Times New Roman"/>
                <w:color w:val="000000" w:themeColor="text1"/>
              </w:rPr>
              <w:t>Среднеахтубинский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>п. Рыбачий, ул. Новостройки, 31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; Кадастровый номер: </w:t>
            </w:r>
            <w:r w:rsidRPr="009F45D1">
              <w:rPr>
                <w:rFonts w:ascii="Verdana" w:hAnsi="Verdana" w:cs="Times New Roman"/>
                <w:color w:val="000000" w:themeColor="text1"/>
              </w:rPr>
              <w:t>34:28:130012:51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; Категория земель: </w:t>
            </w:r>
            <w:r>
              <w:rPr>
                <w:rFonts w:ascii="Verdana" w:hAnsi="Verdana" w:cs="Times New Roman"/>
                <w:color w:val="000000" w:themeColor="text1"/>
              </w:rPr>
              <w:t>з</w:t>
            </w:r>
            <w:r w:rsidRPr="0001657E">
              <w:rPr>
                <w:rFonts w:ascii="Verdana" w:hAnsi="Verdana" w:cs="Times New Roman"/>
                <w:color w:val="000000" w:themeColor="text1"/>
              </w:rPr>
              <w:t xml:space="preserve">емли сельскохозяйственного назначения; Вид разрешенного использования: </w:t>
            </w:r>
            <w:r>
              <w:rPr>
                <w:rFonts w:ascii="Verdana" w:hAnsi="Verdana" w:cs="Times New Roman"/>
                <w:color w:val="000000" w:themeColor="text1"/>
              </w:rPr>
              <w:t>д</w:t>
            </w:r>
            <w:r w:rsidRPr="009C7203">
              <w:rPr>
                <w:rFonts w:ascii="Verdana" w:hAnsi="Verdana" w:cs="Times New Roman"/>
                <w:color w:val="000000" w:themeColor="text1"/>
              </w:rPr>
              <w:t>ля ведения личного подсобного хозяйства и индивидуального жилищного строительства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</w:t>
            </w:r>
            <w:r w:rsidRPr="005E2CFF">
              <w:rPr>
                <w:rFonts w:ascii="Verdana" w:hAnsi="Verdana" w:cs="Times New Roman"/>
                <w:color w:val="000000" w:themeColor="text1"/>
              </w:rPr>
              <w:t>(далее – «</w:t>
            </w:r>
            <w:r>
              <w:rPr>
                <w:rFonts w:ascii="Verdana" w:hAnsi="Verdana" w:cs="Times New Roman"/>
                <w:color w:val="000000" w:themeColor="text1"/>
              </w:rPr>
              <w:t>Н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едвижимое имущество» или «Земельны</w:t>
            </w:r>
            <w:r>
              <w:rPr>
                <w:rFonts w:ascii="Verdana" w:hAnsi="Verdana" w:cs="Times New Roman"/>
                <w:color w:val="000000" w:themeColor="text1"/>
              </w:rPr>
              <w:t>й</w:t>
            </w:r>
            <w:r w:rsidRPr="005E2CFF">
              <w:rPr>
                <w:rFonts w:ascii="Verdana" w:hAnsi="Verdana" w:cs="Times New Roman"/>
                <w:color w:val="000000" w:themeColor="text1"/>
              </w:rPr>
              <w:t xml:space="preserve"> участ</w:t>
            </w:r>
            <w:r>
              <w:rPr>
                <w:rFonts w:ascii="Verdana" w:hAnsi="Verdana" w:cs="Times New Roman"/>
                <w:color w:val="000000" w:themeColor="text1"/>
              </w:rPr>
              <w:t>о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к»).</w:t>
            </w:r>
          </w:p>
          <w:p w14:paraId="29C2CF2F" w14:textId="31931A3D" w:rsidR="0057396E" w:rsidRDefault="0057396E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DD66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DD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DD668A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DD668A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5830C41F" w:rsidR="00BB2B1E" w:rsidRPr="00214013" w:rsidRDefault="00BB2B1E" w:rsidP="006C0C8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DD668A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DD668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DD668A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44F20D86" w:rsidR="00BB2B1E" w:rsidRPr="00214013" w:rsidRDefault="00BB2B1E" w:rsidP="00D51237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</w:t>
            </w:r>
            <w:r w:rsidR="00D5123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ЕГРН</w:t>
            </w:r>
            <w:r w:rsidR="00D51237">
              <w:rPr>
                <w:rFonts w:ascii="Verdana" w:hAnsi="Verdana" w:cs="Verdana"/>
                <w:vertAlign w:val="superscript"/>
              </w:rPr>
              <w:t>7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A5D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(при наличии)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08E762F5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A5D09">
        <w:rPr>
          <w:rFonts w:ascii="Verdana" w:hAnsi="Verdana"/>
          <w:sz w:val="20"/>
          <w:szCs w:val="20"/>
        </w:rPr>
        <w:t>3</w:t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DD668A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DD66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DD668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DD668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DD66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DD668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DD668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DD668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DD66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DD66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DD668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EBD7" w14:textId="77777777" w:rsidR="00CA1FC2" w:rsidRDefault="00CA1FC2" w:rsidP="00E33D4F">
      <w:pPr>
        <w:spacing w:after="0" w:line="240" w:lineRule="auto"/>
      </w:pPr>
      <w:r>
        <w:separator/>
      </w:r>
    </w:p>
  </w:endnote>
  <w:endnote w:type="continuationSeparator" w:id="0">
    <w:p w14:paraId="55C8865C" w14:textId="77777777" w:rsidR="00CA1FC2" w:rsidRDefault="00CA1FC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7E2D5EE" w:rsidR="00734F72" w:rsidRDefault="00734F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0E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734F72" w:rsidRDefault="00734F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07A7" w14:textId="77777777" w:rsidR="00CA1FC2" w:rsidRDefault="00CA1FC2" w:rsidP="00E33D4F">
      <w:pPr>
        <w:spacing w:after="0" w:line="240" w:lineRule="auto"/>
      </w:pPr>
      <w:r>
        <w:separator/>
      </w:r>
    </w:p>
  </w:footnote>
  <w:footnote w:type="continuationSeparator" w:id="0">
    <w:p w14:paraId="0C57EC91" w14:textId="77777777" w:rsidR="00CA1FC2" w:rsidRDefault="00CA1FC2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734F72" w:rsidRPr="00010D96" w:rsidRDefault="00734F72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734F72" w:rsidRPr="00010D96" w:rsidRDefault="00734F72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734F72" w:rsidRPr="00010D96" w:rsidRDefault="00734F72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734F72" w:rsidRPr="00010D96" w:rsidRDefault="00734F72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734F72" w:rsidRPr="00010D96" w:rsidRDefault="00734F72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734F72" w:rsidRPr="0010369A" w:rsidRDefault="00734F72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734F72" w:rsidRDefault="00734F72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734F72" w:rsidRPr="00010D96" w:rsidRDefault="00734F72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734F72" w:rsidRPr="00010D96" w:rsidRDefault="00734F72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76457107" w14:textId="77777777" w:rsidR="00734F72" w:rsidRPr="00737CC6" w:rsidRDefault="00734F72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359706A"/>
    <w:multiLevelType w:val="hybridMultilevel"/>
    <w:tmpl w:val="CDC23C78"/>
    <w:lvl w:ilvl="0" w:tplc="17F8F962">
      <w:start w:val="1"/>
      <w:numFmt w:val="decimal"/>
      <w:lvlText w:val="%1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7A21"/>
    <w:multiLevelType w:val="hybridMultilevel"/>
    <w:tmpl w:val="A208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48B1805"/>
    <w:multiLevelType w:val="multilevel"/>
    <w:tmpl w:val="3706628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2"/>
  </w:num>
  <w:num w:numId="8">
    <w:abstractNumId w:val="3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9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1"/>
  </w:num>
  <w:num w:numId="27">
    <w:abstractNumId w:val="26"/>
  </w:num>
  <w:num w:numId="28">
    <w:abstractNumId w:val="10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17"/>
  </w:num>
  <w:num w:numId="35">
    <w:abstractNumId w:val="23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657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333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346B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4E5C"/>
    <w:rsid w:val="000D5385"/>
    <w:rsid w:val="000D77B1"/>
    <w:rsid w:val="000E119A"/>
    <w:rsid w:val="000E1645"/>
    <w:rsid w:val="000E2363"/>
    <w:rsid w:val="000E2C37"/>
    <w:rsid w:val="000E2F36"/>
    <w:rsid w:val="000E3328"/>
    <w:rsid w:val="000E36D3"/>
    <w:rsid w:val="000E4B9A"/>
    <w:rsid w:val="000E5363"/>
    <w:rsid w:val="000E58BA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0F73F4"/>
    <w:rsid w:val="001024FD"/>
    <w:rsid w:val="00102FE7"/>
    <w:rsid w:val="0010369A"/>
    <w:rsid w:val="00103A3A"/>
    <w:rsid w:val="00106775"/>
    <w:rsid w:val="00106A68"/>
    <w:rsid w:val="001102D9"/>
    <w:rsid w:val="00111061"/>
    <w:rsid w:val="001137D7"/>
    <w:rsid w:val="001177B8"/>
    <w:rsid w:val="00120657"/>
    <w:rsid w:val="00121172"/>
    <w:rsid w:val="00122945"/>
    <w:rsid w:val="00123169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4F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632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07B3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0689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17E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97B9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3B2"/>
    <w:rsid w:val="002B75BE"/>
    <w:rsid w:val="002C05BE"/>
    <w:rsid w:val="002C1077"/>
    <w:rsid w:val="002C398A"/>
    <w:rsid w:val="002C7200"/>
    <w:rsid w:val="002C7331"/>
    <w:rsid w:val="002C7D96"/>
    <w:rsid w:val="002D0141"/>
    <w:rsid w:val="002D08CE"/>
    <w:rsid w:val="002D2A49"/>
    <w:rsid w:val="002D426E"/>
    <w:rsid w:val="002D6632"/>
    <w:rsid w:val="002D6941"/>
    <w:rsid w:val="002D7220"/>
    <w:rsid w:val="002D740D"/>
    <w:rsid w:val="002D7AE5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1B4E"/>
    <w:rsid w:val="0032754A"/>
    <w:rsid w:val="0033460B"/>
    <w:rsid w:val="00334661"/>
    <w:rsid w:val="00334D3E"/>
    <w:rsid w:val="00334E8F"/>
    <w:rsid w:val="00336C56"/>
    <w:rsid w:val="00336D98"/>
    <w:rsid w:val="00341BE1"/>
    <w:rsid w:val="00341DF2"/>
    <w:rsid w:val="00342591"/>
    <w:rsid w:val="00342A7C"/>
    <w:rsid w:val="00342DDC"/>
    <w:rsid w:val="0034333C"/>
    <w:rsid w:val="00344D65"/>
    <w:rsid w:val="00344E14"/>
    <w:rsid w:val="00344FEB"/>
    <w:rsid w:val="00351FB3"/>
    <w:rsid w:val="003546A4"/>
    <w:rsid w:val="00361D47"/>
    <w:rsid w:val="003629D2"/>
    <w:rsid w:val="003645AC"/>
    <w:rsid w:val="003646C3"/>
    <w:rsid w:val="003677C6"/>
    <w:rsid w:val="00370031"/>
    <w:rsid w:val="0037118C"/>
    <w:rsid w:val="0037350E"/>
    <w:rsid w:val="0037629D"/>
    <w:rsid w:val="00381D74"/>
    <w:rsid w:val="00382B09"/>
    <w:rsid w:val="00382D13"/>
    <w:rsid w:val="00386377"/>
    <w:rsid w:val="00387FA5"/>
    <w:rsid w:val="00390A4F"/>
    <w:rsid w:val="00391481"/>
    <w:rsid w:val="00391E62"/>
    <w:rsid w:val="003934C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5F37"/>
    <w:rsid w:val="003B025F"/>
    <w:rsid w:val="003B0B8E"/>
    <w:rsid w:val="003B3459"/>
    <w:rsid w:val="003B3568"/>
    <w:rsid w:val="003B436E"/>
    <w:rsid w:val="003B4A8B"/>
    <w:rsid w:val="003B5D5D"/>
    <w:rsid w:val="003B7BCD"/>
    <w:rsid w:val="003C07E6"/>
    <w:rsid w:val="003C2F19"/>
    <w:rsid w:val="003C33D0"/>
    <w:rsid w:val="003C3B0A"/>
    <w:rsid w:val="003C50DB"/>
    <w:rsid w:val="003C5973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A33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1BA5"/>
    <w:rsid w:val="00456C6E"/>
    <w:rsid w:val="00456C92"/>
    <w:rsid w:val="00456DFA"/>
    <w:rsid w:val="00457733"/>
    <w:rsid w:val="004613E3"/>
    <w:rsid w:val="00461766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BFC"/>
    <w:rsid w:val="0047722C"/>
    <w:rsid w:val="00477406"/>
    <w:rsid w:val="00477B5A"/>
    <w:rsid w:val="00480AF7"/>
    <w:rsid w:val="004816A7"/>
    <w:rsid w:val="004826F0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4C2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0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4DC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22A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5856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500E"/>
    <w:rsid w:val="0059647B"/>
    <w:rsid w:val="005975EF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3B37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26A53"/>
    <w:rsid w:val="00634B19"/>
    <w:rsid w:val="00635DA0"/>
    <w:rsid w:val="006414F7"/>
    <w:rsid w:val="0064150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AD6"/>
    <w:rsid w:val="00664EEA"/>
    <w:rsid w:val="00665872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0C8B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20"/>
    <w:rsid w:val="006D37AE"/>
    <w:rsid w:val="006D4BDE"/>
    <w:rsid w:val="006D5D7C"/>
    <w:rsid w:val="006D7D35"/>
    <w:rsid w:val="006E427F"/>
    <w:rsid w:val="006E4A73"/>
    <w:rsid w:val="006E54D0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4E2C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40E0"/>
    <w:rsid w:val="00715964"/>
    <w:rsid w:val="00720E91"/>
    <w:rsid w:val="00722BC5"/>
    <w:rsid w:val="00723CFD"/>
    <w:rsid w:val="007246C9"/>
    <w:rsid w:val="00724FD5"/>
    <w:rsid w:val="00725DB0"/>
    <w:rsid w:val="00727F00"/>
    <w:rsid w:val="00731F57"/>
    <w:rsid w:val="00732D58"/>
    <w:rsid w:val="0073448E"/>
    <w:rsid w:val="00734F72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42DD"/>
    <w:rsid w:val="007856B2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502"/>
    <w:rsid w:val="007975F8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E78B8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5D02"/>
    <w:rsid w:val="008070A5"/>
    <w:rsid w:val="008076AD"/>
    <w:rsid w:val="00810543"/>
    <w:rsid w:val="0081148F"/>
    <w:rsid w:val="00813127"/>
    <w:rsid w:val="0081363D"/>
    <w:rsid w:val="008143E3"/>
    <w:rsid w:val="008144B0"/>
    <w:rsid w:val="00815BD4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36551"/>
    <w:rsid w:val="008400A0"/>
    <w:rsid w:val="008403DA"/>
    <w:rsid w:val="00841F2D"/>
    <w:rsid w:val="0084325B"/>
    <w:rsid w:val="008432AC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1710"/>
    <w:rsid w:val="008720FB"/>
    <w:rsid w:val="00872B06"/>
    <w:rsid w:val="0087351F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4F9B"/>
    <w:rsid w:val="008A6980"/>
    <w:rsid w:val="008A797C"/>
    <w:rsid w:val="008B5C95"/>
    <w:rsid w:val="008B6C6E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4FAC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8F7C62"/>
    <w:rsid w:val="0090077C"/>
    <w:rsid w:val="00900D57"/>
    <w:rsid w:val="00903350"/>
    <w:rsid w:val="00903F42"/>
    <w:rsid w:val="00903F5B"/>
    <w:rsid w:val="009046A8"/>
    <w:rsid w:val="00905C9D"/>
    <w:rsid w:val="0091060F"/>
    <w:rsid w:val="00911397"/>
    <w:rsid w:val="00911B88"/>
    <w:rsid w:val="009156EC"/>
    <w:rsid w:val="00920057"/>
    <w:rsid w:val="00920882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0C60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3F6F"/>
    <w:rsid w:val="00954548"/>
    <w:rsid w:val="009564FC"/>
    <w:rsid w:val="009569FD"/>
    <w:rsid w:val="0095727C"/>
    <w:rsid w:val="0096008A"/>
    <w:rsid w:val="009604C2"/>
    <w:rsid w:val="00960A26"/>
    <w:rsid w:val="00963A78"/>
    <w:rsid w:val="00966EC8"/>
    <w:rsid w:val="009710BF"/>
    <w:rsid w:val="00972583"/>
    <w:rsid w:val="009726BD"/>
    <w:rsid w:val="009745F9"/>
    <w:rsid w:val="00980AAE"/>
    <w:rsid w:val="00981043"/>
    <w:rsid w:val="009821B9"/>
    <w:rsid w:val="00982492"/>
    <w:rsid w:val="00982ED3"/>
    <w:rsid w:val="009838DA"/>
    <w:rsid w:val="00984BE9"/>
    <w:rsid w:val="00985C1B"/>
    <w:rsid w:val="009914BE"/>
    <w:rsid w:val="009922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4F93"/>
    <w:rsid w:val="009B5AB0"/>
    <w:rsid w:val="009B70A8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203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3B31"/>
    <w:rsid w:val="009F45D1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312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18CB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B7B4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2A06"/>
    <w:rsid w:val="00AE3159"/>
    <w:rsid w:val="00AE359A"/>
    <w:rsid w:val="00AE3962"/>
    <w:rsid w:val="00AE475C"/>
    <w:rsid w:val="00AE4CE2"/>
    <w:rsid w:val="00AE4E45"/>
    <w:rsid w:val="00AF1459"/>
    <w:rsid w:val="00AF269E"/>
    <w:rsid w:val="00AF28E5"/>
    <w:rsid w:val="00AF5974"/>
    <w:rsid w:val="00B012C3"/>
    <w:rsid w:val="00B01E0E"/>
    <w:rsid w:val="00B03BF7"/>
    <w:rsid w:val="00B04710"/>
    <w:rsid w:val="00B05139"/>
    <w:rsid w:val="00B0523F"/>
    <w:rsid w:val="00B0682E"/>
    <w:rsid w:val="00B1248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57EEA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3B1E"/>
    <w:rsid w:val="00B86386"/>
    <w:rsid w:val="00B87012"/>
    <w:rsid w:val="00B871F4"/>
    <w:rsid w:val="00B92212"/>
    <w:rsid w:val="00B932DF"/>
    <w:rsid w:val="00B94590"/>
    <w:rsid w:val="00B95210"/>
    <w:rsid w:val="00B9538C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1485"/>
    <w:rsid w:val="00C131F7"/>
    <w:rsid w:val="00C139D9"/>
    <w:rsid w:val="00C13EC0"/>
    <w:rsid w:val="00C14F0A"/>
    <w:rsid w:val="00C1613D"/>
    <w:rsid w:val="00C1651B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089F"/>
    <w:rsid w:val="00C43816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39B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4AB2"/>
    <w:rsid w:val="00C95E20"/>
    <w:rsid w:val="00CA02DD"/>
    <w:rsid w:val="00CA1FC2"/>
    <w:rsid w:val="00CA44E1"/>
    <w:rsid w:val="00CA4862"/>
    <w:rsid w:val="00CA5B8C"/>
    <w:rsid w:val="00CA5D09"/>
    <w:rsid w:val="00CA5D66"/>
    <w:rsid w:val="00CA5F66"/>
    <w:rsid w:val="00CA695D"/>
    <w:rsid w:val="00CA7CAF"/>
    <w:rsid w:val="00CB1ACC"/>
    <w:rsid w:val="00CB35C9"/>
    <w:rsid w:val="00CB3911"/>
    <w:rsid w:val="00CB3942"/>
    <w:rsid w:val="00CB6567"/>
    <w:rsid w:val="00CB6D50"/>
    <w:rsid w:val="00CB7202"/>
    <w:rsid w:val="00CB77F4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67D9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CF7AE0"/>
    <w:rsid w:val="00D013EC"/>
    <w:rsid w:val="00D02C41"/>
    <w:rsid w:val="00D03FB6"/>
    <w:rsid w:val="00D04DB1"/>
    <w:rsid w:val="00D05072"/>
    <w:rsid w:val="00D053D1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1DB5"/>
    <w:rsid w:val="00D42EFE"/>
    <w:rsid w:val="00D440B9"/>
    <w:rsid w:val="00D45892"/>
    <w:rsid w:val="00D4671E"/>
    <w:rsid w:val="00D47D8A"/>
    <w:rsid w:val="00D51237"/>
    <w:rsid w:val="00D512E5"/>
    <w:rsid w:val="00D51DBF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1CD7"/>
    <w:rsid w:val="00D8208F"/>
    <w:rsid w:val="00D8252D"/>
    <w:rsid w:val="00D83528"/>
    <w:rsid w:val="00D85987"/>
    <w:rsid w:val="00D86574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1E11"/>
    <w:rsid w:val="00DC25F5"/>
    <w:rsid w:val="00DC2A16"/>
    <w:rsid w:val="00DC39ED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668A"/>
    <w:rsid w:val="00DD78A9"/>
    <w:rsid w:val="00DE01E0"/>
    <w:rsid w:val="00DE0E51"/>
    <w:rsid w:val="00DE1B2D"/>
    <w:rsid w:val="00DE35A6"/>
    <w:rsid w:val="00DE3FC0"/>
    <w:rsid w:val="00DE439C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675C7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03D"/>
    <w:rsid w:val="00E84EF7"/>
    <w:rsid w:val="00E8567D"/>
    <w:rsid w:val="00E863FE"/>
    <w:rsid w:val="00E90A4F"/>
    <w:rsid w:val="00E90DA2"/>
    <w:rsid w:val="00E91217"/>
    <w:rsid w:val="00E9151F"/>
    <w:rsid w:val="00E915D8"/>
    <w:rsid w:val="00E94D00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45F7"/>
    <w:rsid w:val="00EB516B"/>
    <w:rsid w:val="00EB7234"/>
    <w:rsid w:val="00EB7BF4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3C40"/>
    <w:rsid w:val="00EF619B"/>
    <w:rsid w:val="00F00A51"/>
    <w:rsid w:val="00F022A3"/>
    <w:rsid w:val="00F052DD"/>
    <w:rsid w:val="00F06D44"/>
    <w:rsid w:val="00F0727B"/>
    <w:rsid w:val="00F07D0B"/>
    <w:rsid w:val="00F1001B"/>
    <w:rsid w:val="00F10ADA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5FD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355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0F12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0438"/>
    <w:rsid w:val="00FD2AC6"/>
    <w:rsid w:val="00FD2B48"/>
    <w:rsid w:val="00FD367D"/>
    <w:rsid w:val="00FD3E6D"/>
    <w:rsid w:val="00FD44A7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F0B5-E27F-4D89-B458-E6EA10F2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8077</Words>
  <Characters>46039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9</cp:revision>
  <cp:lastPrinted>2019-10-21T13:14:00Z</cp:lastPrinted>
  <dcterms:created xsi:type="dcterms:W3CDTF">2024-01-22T14:14:00Z</dcterms:created>
  <dcterms:modified xsi:type="dcterms:W3CDTF">2024-01-29T14:46:00Z</dcterms:modified>
</cp:coreProperties>
</file>