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66C8B0FD" w14:textId="77777777" w:rsidR="00BF1D65" w:rsidRDefault="00394896" w:rsidP="009677D0">
      <w:pPr>
        <w:keepNext/>
        <w:keepLines/>
        <w:spacing w:after="0" w:line="240" w:lineRule="auto"/>
        <w:jc w:val="both"/>
      </w:pPr>
      <w:proofErr w:type="gramStart"/>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BF1D65">
        <w:rPr>
          <w:rFonts w:ascii="Times New Roman" w:hAnsi="Times New Roman" w:cs="Times New Roman"/>
          <w:bCs/>
          <w:sz w:val="24"/>
          <w:szCs w:val="24"/>
        </w:rPr>
        <w:t>право заключения договора купли-продажи имущества, находящегося в собственности АО «</w:t>
      </w:r>
      <w:proofErr w:type="spellStart"/>
      <w:r w:rsidR="00BF1D65">
        <w:rPr>
          <w:rFonts w:ascii="Times New Roman" w:hAnsi="Times New Roman" w:cs="Times New Roman"/>
          <w:bCs/>
          <w:sz w:val="24"/>
          <w:szCs w:val="24"/>
        </w:rPr>
        <w:t>Россельхозбанк</w:t>
      </w:r>
      <w:proofErr w:type="spellEnd"/>
      <w:r w:rsidR="00BF1D65">
        <w:rPr>
          <w:rFonts w:ascii="Times New Roman" w:hAnsi="Times New Roman" w:cs="Times New Roman"/>
          <w:bCs/>
          <w:sz w:val="24"/>
          <w:szCs w:val="24"/>
        </w:rPr>
        <w:t>» (Ростовский Регионал</w:t>
      </w:r>
      <w:r w:rsidR="00BF1D65">
        <w:rPr>
          <w:rFonts w:ascii="Times New Roman" w:hAnsi="Times New Roman" w:cs="Times New Roman"/>
          <w:bCs/>
          <w:sz w:val="24"/>
          <w:szCs w:val="24"/>
        </w:rPr>
        <w:t>ьный филиал АО «</w:t>
      </w:r>
      <w:proofErr w:type="spellStart"/>
      <w:r w:rsidR="00BF1D65">
        <w:rPr>
          <w:rFonts w:ascii="Times New Roman" w:hAnsi="Times New Roman" w:cs="Times New Roman"/>
          <w:bCs/>
          <w:sz w:val="24"/>
          <w:szCs w:val="24"/>
        </w:rPr>
        <w:t>Россельхозбанк</w:t>
      </w:r>
      <w:proofErr w:type="spellEnd"/>
      <w:r w:rsidR="00BF1D65">
        <w:rPr>
          <w:rFonts w:ascii="Times New Roman" w:hAnsi="Times New Roman" w:cs="Times New Roman"/>
          <w:bCs/>
          <w:sz w:val="24"/>
          <w:szCs w:val="24"/>
        </w:rPr>
        <w:t>».</w:t>
      </w:r>
      <w:r w:rsidR="00BF1D65" w:rsidRPr="00BF1D65">
        <w:t xml:space="preserve"> </w:t>
      </w:r>
      <w:proofErr w:type="gramEnd"/>
    </w:p>
    <w:p w14:paraId="59A182E9" w14:textId="3C3AD026" w:rsidR="009677D0" w:rsidRDefault="00BF1D65" w:rsidP="009677D0">
      <w:pPr>
        <w:keepNext/>
        <w:keepLines/>
        <w:spacing w:after="0" w:line="240" w:lineRule="auto"/>
        <w:jc w:val="both"/>
        <w:rPr>
          <w:rFonts w:ascii="Times New Roman" w:hAnsi="Times New Roman" w:cs="Times New Roman"/>
          <w:bCs/>
          <w:sz w:val="24"/>
          <w:szCs w:val="24"/>
        </w:rPr>
      </w:pPr>
      <w:r w:rsidRPr="00BF1D65">
        <w:rPr>
          <w:rFonts w:ascii="Times New Roman" w:hAnsi="Times New Roman" w:cs="Times New Roman"/>
          <w:bCs/>
          <w:sz w:val="24"/>
          <w:szCs w:val="24"/>
        </w:rPr>
        <w:t xml:space="preserve">Жилой дом площадью 77,1 </w:t>
      </w:r>
      <w:proofErr w:type="spellStart"/>
      <w:r w:rsidRPr="00BF1D65">
        <w:rPr>
          <w:rFonts w:ascii="Times New Roman" w:hAnsi="Times New Roman" w:cs="Times New Roman"/>
          <w:bCs/>
          <w:sz w:val="24"/>
          <w:szCs w:val="24"/>
        </w:rPr>
        <w:t>кв.м</w:t>
      </w:r>
      <w:proofErr w:type="spellEnd"/>
      <w:r w:rsidRPr="00BF1D65">
        <w:rPr>
          <w:rFonts w:ascii="Times New Roman" w:hAnsi="Times New Roman" w:cs="Times New Roman"/>
          <w:bCs/>
          <w:sz w:val="24"/>
          <w:szCs w:val="24"/>
        </w:rPr>
        <w:t xml:space="preserve">. Адрес: Республика Калмыкия, г. Элиста, ул. 9-я </w:t>
      </w:r>
      <w:proofErr w:type="spellStart"/>
      <w:r w:rsidRPr="00BF1D65">
        <w:rPr>
          <w:rFonts w:ascii="Times New Roman" w:hAnsi="Times New Roman" w:cs="Times New Roman"/>
          <w:bCs/>
          <w:sz w:val="24"/>
          <w:szCs w:val="24"/>
        </w:rPr>
        <w:t>Северозападная</w:t>
      </w:r>
      <w:proofErr w:type="spellEnd"/>
      <w:r w:rsidRPr="00BF1D65">
        <w:rPr>
          <w:rFonts w:ascii="Times New Roman" w:hAnsi="Times New Roman" w:cs="Times New Roman"/>
          <w:bCs/>
          <w:sz w:val="24"/>
          <w:szCs w:val="24"/>
        </w:rPr>
        <w:t xml:space="preserve">, д. 11. Кадастровый номер: 08:14:030111:181 и земельный участок площадью 660 +/- 9 </w:t>
      </w:r>
      <w:proofErr w:type="spellStart"/>
      <w:r w:rsidRPr="00BF1D65">
        <w:rPr>
          <w:rFonts w:ascii="Times New Roman" w:hAnsi="Times New Roman" w:cs="Times New Roman"/>
          <w:bCs/>
          <w:sz w:val="24"/>
          <w:szCs w:val="24"/>
        </w:rPr>
        <w:t>кв.м</w:t>
      </w:r>
      <w:proofErr w:type="spellEnd"/>
      <w:r w:rsidRPr="00BF1D65">
        <w:rPr>
          <w:rFonts w:ascii="Times New Roman" w:hAnsi="Times New Roman" w:cs="Times New Roman"/>
          <w:bCs/>
          <w:sz w:val="24"/>
          <w:szCs w:val="24"/>
        </w:rPr>
        <w:t xml:space="preserve">. Категория земель: земли населенных пунктов, для строительства индивидуального жилого дома. Адрес: Республика Калмыкия, г.  Элиста, ул. 9-я </w:t>
      </w:r>
      <w:proofErr w:type="spellStart"/>
      <w:r w:rsidRPr="00BF1D65">
        <w:rPr>
          <w:rFonts w:ascii="Times New Roman" w:hAnsi="Times New Roman" w:cs="Times New Roman"/>
          <w:bCs/>
          <w:sz w:val="24"/>
          <w:szCs w:val="24"/>
        </w:rPr>
        <w:t>Северозападная</w:t>
      </w:r>
      <w:proofErr w:type="spellEnd"/>
      <w:r w:rsidRPr="00BF1D65">
        <w:rPr>
          <w:rFonts w:ascii="Times New Roman" w:hAnsi="Times New Roman" w:cs="Times New Roman"/>
          <w:bCs/>
          <w:sz w:val="24"/>
          <w:szCs w:val="24"/>
        </w:rPr>
        <w:t>, д. 11</w:t>
      </w:r>
    </w:p>
    <w:p w14:paraId="09A4A0B7" w14:textId="77777777" w:rsidR="004B5AED" w:rsidRDefault="004B5AED" w:rsidP="009677D0">
      <w:pPr>
        <w:keepNext/>
        <w:keepLines/>
        <w:spacing w:after="0" w:line="240" w:lineRule="auto"/>
        <w:jc w:val="both"/>
        <w:rPr>
          <w:rFonts w:ascii="Times New Roman" w:hAnsi="Times New Roman" w:cs="Times New Roman"/>
          <w:bCs/>
          <w:sz w:val="24"/>
          <w:szCs w:val="24"/>
        </w:rPr>
      </w:pPr>
    </w:p>
    <w:p w14:paraId="2DC7E6DD" w14:textId="680D19BE" w:rsidR="00394896" w:rsidRPr="00394896" w:rsidRDefault="00394896" w:rsidP="009677D0">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54BE5279"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D5595E">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2</w:t>
      </w:r>
      <w:r w:rsidRPr="00394896">
        <w:rPr>
          <w:rFonts w:ascii="Times New Roman" w:eastAsia="Times New Roman" w:hAnsi="Times New Roman" w:cs="Times New Roman"/>
          <w:sz w:val="24"/>
          <w:szCs w:val="24"/>
          <w:lang w:eastAsia="ru-RU"/>
        </w:rPr>
        <w:t xml:space="preserve">» </w:t>
      </w:r>
      <w:r w:rsidR="004B5AED">
        <w:rPr>
          <w:rFonts w:ascii="Times New Roman" w:eastAsia="Times New Roman" w:hAnsi="Times New Roman" w:cs="Times New Roman"/>
          <w:sz w:val="24"/>
          <w:szCs w:val="24"/>
          <w:lang w:eastAsia="ru-RU"/>
        </w:rPr>
        <w:t xml:space="preserve">апреля </w:t>
      </w:r>
      <w:r w:rsidRPr="00394896">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D5595E">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7</w:t>
      </w:r>
      <w:r w:rsidRPr="00394896">
        <w:rPr>
          <w:rFonts w:ascii="Times New Roman" w:eastAsia="Times New Roman" w:hAnsi="Times New Roman" w:cs="Times New Roman"/>
          <w:sz w:val="24"/>
          <w:szCs w:val="24"/>
          <w:lang w:eastAsia="ru-RU"/>
        </w:rPr>
        <w:t xml:space="preserve">» </w:t>
      </w:r>
      <w:r w:rsidR="004B5AED">
        <w:rPr>
          <w:rFonts w:ascii="Times New Roman" w:eastAsia="Times New Roman" w:hAnsi="Times New Roman" w:cs="Times New Roman"/>
          <w:sz w:val="24"/>
          <w:szCs w:val="24"/>
          <w:lang w:eastAsia="ru-RU"/>
        </w:rPr>
        <w:t>ма</w:t>
      </w:r>
      <w:r w:rsidR="00325FE4">
        <w:rPr>
          <w:rFonts w:ascii="Times New Roman" w:eastAsia="Times New Roman" w:hAnsi="Times New Roman" w:cs="Times New Roman"/>
          <w:sz w:val="24"/>
          <w:szCs w:val="24"/>
          <w:lang w:eastAsia="ru-RU"/>
        </w:rPr>
        <w:t>я</w:t>
      </w:r>
      <w:r w:rsidR="00814F71">
        <w:rPr>
          <w:rFonts w:ascii="Times New Roman" w:eastAsia="Times New Roman" w:hAnsi="Times New Roman" w:cs="Times New Roman"/>
          <w:sz w:val="24"/>
          <w:szCs w:val="24"/>
          <w:lang w:eastAsia="ru-RU"/>
        </w:rPr>
        <w:t xml:space="preserve"> </w:t>
      </w:r>
      <w:r w:rsidR="00B24BD1">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1D3372E5"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xml:space="preserve">: </w:t>
      </w:r>
      <w:r w:rsidR="004B5AED" w:rsidRPr="004B5AED">
        <w:rPr>
          <w:rFonts w:ascii="Times New Roman" w:eastAsia="Times New Roman" w:hAnsi="Times New Roman" w:cs="Times New Roman"/>
          <w:sz w:val="24"/>
          <w:szCs w:val="24"/>
          <w:lang w:eastAsia="ru-RU"/>
        </w:rPr>
        <w:t>«22» апреля 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5F3EFDF4"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4B5AED">
        <w:rPr>
          <w:rFonts w:ascii="Times New Roman" w:eastAsia="Times New Roman" w:hAnsi="Times New Roman" w:cs="Times New Roman"/>
          <w:sz w:val="24"/>
          <w:szCs w:val="24"/>
          <w:lang w:eastAsia="ru-RU"/>
        </w:rPr>
        <w:t>9</w:t>
      </w:r>
      <w:r w:rsidRPr="00394896">
        <w:rPr>
          <w:rFonts w:ascii="Times New Roman" w:eastAsia="Times New Roman" w:hAnsi="Times New Roman" w:cs="Times New Roman"/>
          <w:sz w:val="24"/>
          <w:szCs w:val="24"/>
          <w:lang w:eastAsia="ru-RU"/>
        </w:rPr>
        <w:t xml:space="preserve">:00 по Московскому времени </w:t>
      </w:r>
      <w:r w:rsidR="004B5AED" w:rsidRPr="004B5AED">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3</w:t>
      </w:r>
      <w:r w:rsidR="004B5AED" w:rsidRPr="004B5AED">
        <w:rPr>
          <w:rFonts w:ascii="Times New Roman" w:eastAsia="Times New Roman" w:hAnsi="Times New Roman" w:cs="Times New Roman"/>
          <w:sz w:val="24"/>
          <w:szCs w:val="24"/>
          <w:lang w:eastAsia="ru-RU"/>
        </w:rPr>
        <w:t>» апреля 2024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5FCCD32E"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736448">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1</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7E4CEA03" w:rsidR="00394896" w:rsidRPr="00394896" w:rsidRDefault="00814F71" w:rsidP="002D1AF5">
      <w:pPr>
        <w:keepNext/>
        <w:keepLines/>
        <w:spacing w:after="0" w:line="240" w:lineRule="auto"/>
        <w:ind w:right="-1"/>
        <w:jc w:val="both"/>
        <w:rPr>
          <w:rFonts w:ascii="Times New Roman" w:eastAsia="Times New Roman" w:hAnsi="Times New Roman" w:cs="Times New Roman"/>
          <w:sz w:val="24"/>
          <w:szCs w:val="24"/>
          <w:lang w:eastAsia="ru-RU"/>
        </w:rPr>
      </w:pPr>
      <w:r w:rsidRPr="00814F71">
        <w:rPr>
          <w:rFonts w:ascii="Times New Roman" w:eastAsia="Times New Roman" w:hAnsi="Times New Roman" w:cs="Times New Roman"/>
          <w:sz w:val="24"/>
          <w:szCs w:val="24"/>
          <w:lang w:eastAsia="ru-RU"/>
        </w:rPr>
        <w:t>«</w:t>
      </w:r>
      <w:r w:rsidR="004B5AED" w:rsidRPr="004B5AED">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0</w:t>
      </w:r>
      <w:r w:rsidR="004B5AED" w:rsidRPr="004B5AED">
        <w:rPr>
          <w:rFonts w:ascii="Times New Roman" w:eastAsia="Times New Roman" w:hAnsi="Times New Roman" w:cs="Times New Roman"/>
          <w:sz w:val="24"/>
          <w:szCs w:val="24"/>
          <w:lang w:eastAsia="ru-RU"/>
        </w:rPr>
        <w:t xml:space="preserve">» мая </w:t>
      </w:r>
      <w:r w:rsidR="001C33C1">
        <w:rPr>
          <w:rFonts w:ascii="Times New Roman" w:eastAsia="Times New Roman" w:hAnsi="Times New Roman" w:cs="Times New Roman"/>
          <w:sz w:val="24"/>
          <w:szCs w:val="24"/>
          <w:lang w:eastAsia="ru-RU"/>
        </w:rPr>
        <w:t>2024</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5C83050A"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4267C7" w:rsidRPr="004267C7">
        <w:rPr>
          <w:rFonts w:ascii="Times New Roman" w:eastAsia="Times New Roman" w:hAnsi="Times New Roman" w:cs="Times New Roman"/>
          <w:sz w:val="24"/>
          <w:szCs w:val="24"/>
          <w:lang w:eastAsia="ru-RU"/>
        </w:rPr>
        <w:t>«</w:t>
      </w:r>
      <w:r w:rsidR="004B5AED" w:rsidRPr="004B5AED">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4</w:t>
      </w:r>
      <w:r w:rsidR="004B5AED" w:rsidRPr="004B5AED">
        <w:rPr>
          <w:rFonts w:ascii="Times New Roman" w:eastAsia="Times New Roman" w:hAnsi="Times New Roman" w:cs="Times New Roman"/>
          <w:sz w:val="24"/>
          <w:szCs w:val="24"/>
          <w:lang w:eastAsia="ru-RU"/>
        </w:rPr>
        <w:t xml:space="preserve">» мая </w:t>
      </w:r>
      <w:r w:rsidR="001C33C1">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77777777"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39D14508" w14:textId="2A5E1D5C" w:rsidR="00B95EEF" w:rsidRDefault="004B5AED" w:rsidP="002D1AF5">
      <w:pPr>
        <w:keepNext/>
        <w:keepLines/>
        <w:spacing w:after="0" w:line="240" w:lineRule="auto"/>
        <w:rPr>
          <w:rFonts w:ascii="Times New Roman" w:eastAsia="Times New Roman" w:hAnsi="Times New Roman" w:cs="Times New Roman"/>
          <w:sz w:val="24"/>
          <w:szCs w:val="24"/>
          <w:lang w:eastAsia="ru-RU"/>
        </w:rPr>
      </w:pPr>
      <w:r w:rsidRPr="004B5AED">
        <w:rPr>
          <w:rFonts w:ascii="Times New Roman" w:eastAsia="Times New Roman" w:hAnsi="Times New Roman" w:cs="Times New Roman"/>
          <w:sz w:val="24"/>
          <w:szCs w:val="24"/>
          <w:lang w:eastAsia="ru-RU"/>
        </w:rPr>
        <w:t xml:space="preserve">«24» мая </w:t>
      </w:r>
      <w:r w:rsidR="004267C7" w:rsidRPr="004267C7">
        <w:rPr>
          <w:rFonts w:ascii="Times New Roman" w:eastAsia="Times New Roman" w:hAnsi="Times New Roman" w:cs="Times New Roman"/>
          <w:sz w:val="24"/>
          <w:szCs w:val="24"/>
          <w:lang w:eastAsia="ru-RU"/>
        </w:rPr>
        <w:t>2024.</w:t>
      </w:r>
    </w:p>
    <w:p w14:paraId="6F5F127E" w14:textId="77777777" w:rsidR="004267C7" w:rsidRPr="00B95EEF" w:rsidRDefault="004267C7" w:rsidP="002D1AF5">
      <w:pPr>
        <w:keepNext/>
        <w:keepLines/>
        <w:spacing w:after="0" w:line="240" w:lineRule="auto"/>
        <w:rPr>
          <w:rFonts w:ascii="Times New Roman" w:eastAsia="Times New Roman" w:hAnsi="Times New Roman" w:cs="Times New Roman"/>
          <w:b/>
          <w:bCs/>
          <w:sz w:val="24"/>
          <w:szCs w:val="24"/>
          <w:lang w:eastAsia="ru-RU"/>
        </w:rPr>
      </w:pPr>
    </w:p>
    <w:p w14:paraId="2C521D26" w14:textId="4E7897A2"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4B5AED">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 xml:space="preserve">:00 по Московскому времени </w:t>
      </w:r>
      <w:r w:rsidR="004B5AED" w:rsidRPr="004B5AED">
        <w:rPr>
          <w:rFonts w:ascii="Times New Roman" w:eastAsia="Times New Roman" w:hAnsi="Times New Roman" w:cs="Times New Roman"/>
          <w:sz w:val="24"/>
          <w:szCs w:val="24"/>
          <w:lang w:eastAsia="ru-RU"/>
        </w:rPr>
        <w:t>«2</w:t>
      </w:r>
      <w:r w:rsidR="004B5AED">
        <w:rPr>
          <w:rFonts w:ascii="Times New Roman" w:eastAsia="Times New Roman" w:hAnsi="Times New Roman" w:cs="Times New Roman"/>
          <w:sz w:val="24"/>
          <w:szCs w:val="24"/>
          <w:lang w:eastAsia="ru-RU"/>
        </w:rPr>
        <w:t>7</w:t>
      </w:r>
      <w:r w:rsidR="004B5AED" w:rsidRPr="004B5AED">
        <w:rPr>
          <w:rFonts w:ascii="Times New Roman" w:eastAsia="Times New Roman" w:hAnsi="Times New Roman" w:cs="Times New Roman"/>
          <w:sz w:val="24"/>
          <w:szCs w:val="24"/>
          <w:lang w:eastAsia="ru-RU"/>
        </w:rPr>
        <w:t xml:space="preserve">» мая </w:t>
      </w:r>
      <w:r w:rsidR="00814F71" w:rsidRPr="00814F71">
        <w:rPr>
          <w:rFonts w:ascii="Times New Roman" w:eastAsia="Times New Roman" w:hAnsi="Times New Roman" w:cs="Times New Roman"/>
          <w:sz w:val="24"/>
          <w:szCs w:val="24"/>
          <w:lang w:eastAsia="ru-RU"/>
        </w:rPr>
        <w:t>2024.</w:t>
      </w:r>
    </w:p>
    <w:p w14:paraId="6534FB17"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C919BB7" w14:textId="2510B544"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 xml:space="preserve">: </w:t>
      </w:r>
      <w:r w:rsidR="004B5AED" w:rsidRPr="004B5AED">
        <w:rPr>
          <w:rFonts w:ascii="Times New Roman" w:eastAsia="Times New Roman" w:hAnsi="Times New Roman" w:cs="Times New Roman"/>
          <w:sz w:val="24"/>
          <w:szCs w:val="24"/>
          <w:lang w:eastAsia="ru-RU"/>
        </w:rPr>
        <w:t xml:space="preserve">«27» мая </w:t>
      </w:r>
      <w:r w:rsidR="00814F71" w:rsidRPr="00814F71">
        <w:rPr>
          <w:rFonts w:ascii="Times New Roman" w:eastAsia="Times New Roman" w:hAnsi="Times New Roman" w:cs="Times New Roman"/>
          <w:sz w:val="24"/>
          <w:szCs w:val="24"/>
          <w:lang w:eastAsia="ru-RU"/>
        </w:rPr>
        <w:t>2024.</w:t>
      </w:r>
    </w:p>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07981EAB" w14:textId="2150BED1"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0A694E">
        <w:rPr>
          <w:rFonts w:ascii="Times New Roman" w:eastAsia="Times New Roman" w:hAnsi="Times New Roman" w:cs="Times New Roman"/>
          <w:b/>
          <w:bCs/>
          <w:sz w:val="24"/>
          <w:szCs w:val="24"/>
          <w:lang w:eastAsia="ru-RU"/>
        </w:rPr>
        <w:t>публикации</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4B5AED" w:rsidRPr="004B5AED">
        <w:rPr>
          <w:rFonts w:ascii="Times New Roman" w:eastAsia="Times New Roman" w:hAnsi="Times New Roman" w:cs="Times New Roman"/>
          <w:sz w:val="24"/>
          <w:szCs w:val="24"/>
          <w:lang w:eastAsia="ru-RU"/>
        </w:rPr>
        <w:t xml:space="preserve">«27» мая </w:t>
      </w:r>
      <w:r w:rsidR="00325FE4" w:rsidRPr="00325FE4">
        <w:rPr>
          <w:rFonts w:ascii="Times New Roman" w:eastAsia="Times New Roman" w:hAnsi="Times New Roman" w:cs="Times New Roman"/>
          <w:sz w:val="24"/>
          <w:szCs w:val="24"/>
          <w:lang w:eastAsia="ru-RU"/>
        </w:rPr>
        <w:t>2024.</w:t>
      </w:r>
    </w:p>
    <w:p w14:paraId="542B10EA" w14:textId="44C33563"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394896" w:rsidRDefault="00394896" w:rsidP="002D1AF5">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10308433"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119034, г. Москва, Гагаринский переулок, д. 3.</w:t>
      </w:r>
    </w:p>
    <w:p w14:paraId="304C4722"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ИНН 7725114488</w:t>
      </w:r>
    </w:p>
    <w:p w14:paraId="7951BC70" w14:textId="77777777" w:rsidR="00736448" w:rsidRPr="00736448" w:rsidRDefault="00736448" w:rsidP="00736448">
      <w:pPr>
        <w:keepNext/>
        <w:keepLines/>
        <w:spacing w:after="0" w:line="240" w:lineRule="auto"/>
        <w:rPr>
          <w:rFonts w:ascii="Times New Roman" w:hAnsi="Times New Roman" w:cs="Times New Roman"/>
          <w:bCs/>
          <w:sz w:val="24"/>
          <w:szCs w:val="24"/>
          <w:lang w:val="x-none"/>
        </w:rPr>
      </w:pPr>
      <w:r w:rsidRPr="00736448">
        <w:rPr>
          <w:rFonts w:ascii="Times New Roman" w:hAnsi="Times New Roman" w:cs="Times New Roman"/>
          <w:bCs/>
          <w:sz w:val="24"/>
          <w:szCs w:val="24"/>
          <w:lang w:val="x-none"/>
        </w:rPr>
        <w:t>КПП 575102001</w:t>
      </w:r>
    </w:p>
    <w:p w14:paraId="304FB485" w14:textId="7BA79096" w:rsidR="008C6965" w:rsidRPr="002A09E9" w:rsidRDefault="002A09E9" w:rsidP="002A09E9">
      <w:pPr>
        <w:keepNext/>
        <w:keepLines/>
        <w:spacing w:after="0" w:line="240" w:lineRule="auto"/>
        <w:rPr>
          <w:rFonts w:ascii="Times New Roman" w:hAnsi="Times New Roman" w:cs="Times New Roman"/>
          <w:bCs/>
          <w:sz w:val="24"/>
          <w:szCs w:val="24"/>
        </w:rPr>
      </w:pPr>
      <w:r>
        <w:rPr>
          <w:rFonts w:ascii="Times New Roman" w:hAnsi="Times New Roman" w:cs="Times New Roman"/>
          <w:bCs/>
          <w:sz w:val="24"/>
          <w:szCs w:val="24"/>
          <w:lang w:val="x-none"/>
        </w:rPr>
        <w:t>ОГРН 1027700342890</w:t>
      </w:r>
    </w:p>
    <w:p w14:paraId="737C1E69" w14:textId="77777777" w:rsidR="002A09E9" w:rsidRDefault="002A09E9" w:rsidP="00FD67E7">
      <w:pPr>
        <w:keepNext/>
        <w:keepLines/>
        <w:spacing w:after="0" w:line="240" w:lineRule="auto"/>
        <w:jc w:val="both"/>
        <w:rPr>
          <w:rFonts w:ascii="Times New Roman" w:eastAsia="Times New Roman" w:hAnsi="Times New Roman" w:cs="Times New Roman"/>
          <w:b/>
          <w:sz w:val="24"/>
          <w:szCs w:val="24"/>
          <w:lang w:eastAsia="ru-RU"/>
        </w:rPr>
      </w:pPr>
    </w:p>
    <w:p w14:paraId="0826E389" w14:textId="18D7C762" w:rsidR="00325FE4" w:rsidRDefault="002A09E9" w:rsidP="00325FE4">
      <w:pPr>
        <w:rPr>
          <w:rFonts w:ascii="Times New Roman" w:eastAsia="Times New Roman" w:hAnsi="Times New Roman" w:cs="Times New Roman"/>
          <w:sz w:val="24"/>
          <w:szCs w:val="24"/>
          <w:lang w:eastAsia="ru-RU"/>
        </w:rPr>
      </w:pPr>
      <w:r w:rsidRPr="002A09E9">
        <w:rPr>
          <w:rFonts w:ascii="Times New Roman" w:eastAsia="Times New Roman" w:hAnsi="Times New Roman" w:cs="Times New Roman"/>
          <w:b/>
          <w:sz w:val="24"/>
          <w:szCs w:val="24"/>
          <w:lang w:eastAsia="ru-RU"/>
        </w:rPr>
        <w:t>Шаг понижения / повышения для торгов</w:t>
      </w:r>
      <w:r w:rsidR="008C6965" w:rsidRPr="008C6965">
        <w:rPr>
          <w:rFonts w:ascii="Times New Roman" w:eastAsia="Times New Roman" w:hAnsi="Times New Roman" w:cs="Times New Roman"/>
          <w:b/>
          <w:sz w:val="24"/>
          <w:szCs w:val="24"/>
          <w:lang w:eastAsia="ru-RU"/>
        </w:rPr>
        <w:t>:</w:t>
      </w:r>
      <w:r w:rsidR="00325FE4" w:rsidRPr="00325FE4">
        <w:t xml:space="preserve"> </w:t>
      </w:r>
      <w:r w:rsidR="004B5AED" w:rsidRPr="004B5AED">
        <w:rPr>
          <w:rFonts w:ascii="Times New Roman" w:hAnsi="Times New Roman" w:cs="Times New Roman"/>
          <w:sz w:val="24"/>
          <w:szCs w:val="24"/>
        </w:rPr>
        <w:t>47 250</w:t>
      </w:r>
      <w:r w:rsidR="00D5595E" w:rsidRPr="00D5595E">
        <w:rPr>
          <w:rFonts w:ascii="Times New Roman" w:hAnsi="Times New Roman" w:cs="Times New Roman"/>
          <w:sz w:val="24"/>
          <w:szCs w:val="24"/>
        </w:rPr>
        <w:t xml:space="preserve"> </w:t>
      </w:r>
      <w:r w:rsidR="00D5595E">
        <w:rPr>
          <w:rFonts w:ascii="Times New Roman" w:hAnsi="Times New Roman" w:cs="Times New Roman"/>
          <w:sz w:val="24"/>
          <w:szCs w:val="24"/>
        </w:rPr>
        <w:t>(</w:t>
      </w:r>
      <w:r w:rsidR="004B5AED">
        <w:rPr>
          <w:rFonts w:ascii="Times New Roman" w:hAnsi="Times New Roman" w:cs="Times New Roman"/>
          <w:sz w:val="24"/>
          <w:szCs w:val="24"/>
        </w:rPr>
        <w:t>сорок семь тысяч двести пятьдесят</w:t>
      </w:r>
      <w:r w:rsidR="00D5595E">
        <w:rPr>
          <w:rFonts w:ascii="Times New Roman" w:hAnsi="Times New Roman" w:cs="Times New Roman"/>
          <w:sz w:val="24"/>
          <w:szCs w:val="24"/>
        </w:rPr>
        <w:t xml:space="preserve">) рублей </w:t>
      </w:r>
      <w:r w:rsidR="004B5AED">
        <w:rPr>
          <w:rFonts w:ascii="Times New Roman" w:hAnsi="Times New Roman" w:cs="Times New Roman"/>
          <w:sz w:val="24"/>
          <w:szCs w:val="24"/>
        </w:rPr>
        <w:t>0</w:t>
      </w:r>
      <w:r w:rsidR="00D5595E">
        <w:rPr>
          <w:rFonts w:ascii="Times New Roman" w:hAnsi="Times New Roman" w:cs="Times New Roman"/>
          <w:sz w:val="24"/>
          <w:szCs w:val="24"/>
        </w:rPr>
        <w:t>0 копеек</w:t>
      </w:r>
      <w:r w:rsidR="004B5AED">
        <w:rPr>
          <w:rFonts w:ascii="Times New Roman" w:hAnsi="Times New Roman" w:cs="Times New Roman"/>
          <w:sz w:val="24"/>
          <w:szCs w:val="24"/>
        </w:rPr>
        <w:t>.</w:t>
      </w:r>
    </w:p>
    <w:p w14:paraId="0471D7D2" w14:textId="77777777" w:rsidR="00D5595E" w:rsidRDefault="00FA23B8" w:rsidP="00D5595E">
      <w:pPr>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15CC24DA" w14:textId="19449722" w:rsidR="004B5AED" w:rsidRDefault="00394896" w:rsidP="00D5595E">
      <w:pPr>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4B5AED" w:rsidRPr="004B5AED">
        <w:rPr>
          <w:rFonts w:ascii="Times New Roman" w:hAnsi="Times New Roman" w:cs="Times New Roman"/>
          <w:bCs/>
          <w:sz w:val="24"/>
          <w:szCs w:val="24"/>
        </w:rPr>
        <w:t>837</w:t>
      </w:r>
      <w:r w:rsidR="004B5AED">
        <w:rPr>
          <w:rFonts w:ascii="Times New Roman" w:hAnsi="Times New Roman" w:cs="Times New Roman"/>
          <w:bCs/>
          <w:sz w:val="24"/>
          <w:szCs w:val="24"/>
        </w:rPr>
        <w:t> </w:t>
      </w:r>
      <w:r w:rsidR="004B5AED" w:rsidRPr="004B5AED">
        <w:rPr>
          <w:rFonts w:ascii="Times New Roman" w:hAnsi="Times New Roman" w:cs="Times New Roman"/>
          <w:bCs/>
          <w:sz w:val="24"/>
          <w:szCs w:val="24"/>
        </w:rPr>
        <w:t>900 (</w:t>
      </w:r>
      <w:r w:rsidR="004B5AED">
        <w:rPr>
          <w:rFonts w:ascii="Times New Roman" w:hAnsi="Times New Roman" w:cs="Times New Roman"/>
          <w:bCs/>
          <w:sz w:val="24"/>
          <w:szCs w:val="24"/>
        </w:rPr>
        <w:t>восемьсот тридцать семь тысяч девятьсот</w:t>
      </w:r>
      <w:r w:rsidR="004B5AED" w:rsidRPr="004B5AED">
        <w:rPr>
          <w:rFonts w:ascii="Times New Roman" w:hAnsi="Times New Roman" w:cs="Times New Roman"/>
          <w:bCs/>
          <w:sz w:val="24"/>
          <w:szCs w:val="24"/>
        </w:rPr>
        <w:t>) рублей 00 копеек.</w:t>
      </w:r>
    </w:p>
    <w:p w14:paraId="5E597243" w14:textId="0821B887" w:rsidR="004B5AED" w:rsidRDefault="00394896" w:rsidP="004B5AED">
      <w:pPr>
        <w:rPr>
          <w:rFonts w:ascii="Times New Roman" w:eastAsia="Times New Roman" w:hAnsi="Times New Roman" w:cs="Times New Roman"/>
          <w:snapToGrid w:val="0"/>
          <w:sz w:val="24"/>
          <w:szCs w:val="24"/>
          <w:lang w:eastAsia="ru-RU"/>
        </w:rPr>
      </w:pPr>
      <w:proofErr w:type="gramStart"/>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4B5AED" w:rsidRPr="004B5AED">
        <w:rPr>
          <w:rFonts w:ascii="Times New Roman" w:eastAsia="Times New Roman" w:hAnsi="Times New Roman" w:cs="Times New Roman"/>
          <w:snapToGrid w:val="0"/>
          <w:sz w:val="24"/>
          <w:szCs w:val="24"/>
          <w:lang w:eastAsia="ru-RU"/>
        </w:rPr>
        <w:t>267 300 (Двести шестьдесят</w:t>
      </w:r>
      <w:proofErr w:type="gramEnd"/>
      <w:r w:rsidR="004B5AED" w:rsidRPr="004B5AED">
        <w:rPr>
          <w:rFonts w:ascii="Times New Roman" w:eastAsia="Times New Roman" w:hAnsi="Times New Roman" w:cs="Times New Roman"/>
          <w:snapToGrid w:val="0"/>
          <w:sz w:val="24"/>
          <w:szCs w:val="24"/>
          <w:lang w:eastAsia="ru-RU"/>
        </w:rPr>
        <w:t xml:space="preserve"> семь тысяч триста) рублей 00 копеек.</w:t>
      </w:r>
    </w:p>
    <w:p w14:paraId="6FE30668" w14:textId="105D1774" w:rsidR="00D5595E" w:rsidRDefault="00394896" w:rsidP="004B5AED">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lastRenderedPageBreak/>
        <w:t xml:space="preserve">Задаток перечисляется по реквизитам: ООО «Аукционы Федерации» (ИНН: 0278184720), </w:t>
      </w:r>
      <w:proofErr w:type="gramStart"/>
      <w:r w:rsidRPr="00394896">
        <w:rPr>
          <w:rFonts w:ascii="Times New Roman" w:eastAsia="Times New Roman" w:hAnsi="Times New Roman" w:cs="Times New Roman"/>
          <w:snapToGrid w:val="0"/>
          <w:sz w:val="24"/>
          <w:szCs w:val="24"/>
          <w:lang w:eastAsia="ru-RU"/>
        </w:rPr>
        <w:t>р</w:t>
      </w:r>
      <w:proofErr w:type="gramEnd"/>
      <w:r w:rsidRPr="00394896">
        <w:rPr>
          <w:rFonts w:ascii="Times New Roman" w:eastAsia="Times New Roman" w:hAnsi="Times New Roman" w:cs="Times New Roman"/>
          <w:snapToGrid w:val="0"/>
          <w:sz w:val="24"/>
          <w:szCs w:val="24"/>
          <w:lang w:eastAsia="ru-RU"/>
        </w:rPr>
        <w:t>/</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394896">
        <w:rPr>
          <w:rFonts w:ascii="Times New Roman" w:eastAsia="Times New Roman" w:hAnsi="Times New Roman" w:cs="Times New Roman"/>
          <w:sz w:val="24"/>
          <w:szCs w:val="24"/>
          <w:lang w:eastAsia="ru-RU"/>
        </w:rPr>
        <w:t>с даты завершения</w:t>
      </w:r>
      <w:proofErr w:type="gramEnd"/>
      <w:r w:rsidRPr="00394896">
        <w:rPr>
          <w:rFonts w:ascii="Times New Roman" w:eastAsia="Times New Roman" w:hAnsi="Times New Roman" w:cs="Times New Roman"/>
          <w:sz w:val="24"/>
          <w:szCs w:val="24"/>
          <w:lang w:eastAsia="ru-RU"/>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c"/>
          <w:rFonts w:ascii="Times New Roman" w:eastAsia="Times New Roman" w:hAnsi="Times New Roman" w:cs="Times New Roman"/>
          <w:bCs/>
          <w:sz w:val="24"/>
          <w:szCs w:val="24"/>
          <w:lang w:val="en-US" w:eastAsia="ru-RU"/>
        </w:rPr>
        <w:t>http</w:t>
      </w:r>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alfalot</w:t>
      </w:r>
      <w:proofErr w:type="spellEnd"/>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ru</w:t>
      </w:r>
      <w:proofErr w:type="spellEnd"/>
      <w:r w:rsidR="00D5595E" w:rsidRPr="00156A8D">
        <w:rPr>
          <w:rStyle w:val="ac"/>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683B53CE"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E65274" w:rsidRPr="00E65274">
        <w:rPr>
          <w:rFonts w:ascii="Times New Roman" w:eastAsia="Times New Roman" w:hAnsi="Times New Roman" w:cs="Times New Roman"/>
          <w:sz w:val="24"/>
          <w:szCs w:val="24"/>
          <w:lang w:eastAsia="ru-RU"/>
        </w:rPr>
        <w:t xml:space="preserve">Не позднее </w:t>
      </w:r>
      <w:r w:rsidR="004B5AED">
        <w:rPr>
          <w:rFonts w:ascii="Times New Roman" w:eastAsia="Times New Roman" w:hAnsi="Times New Roman" w:cs="Times New Roman"/>
          <w:sz w:val="24"/>
          <w:szCs w:val="24"/>
          <w:lang w:eastAsia="ru-RU"/>
        </w:rPr>
        <w:t>5</w:t>
      </w:r>
      <w:r w:rsidR="00E65274" w:rsidRPr="00E65274">
        <w:rPr>
          <w:rFonts w:ascii="Times New Roman" w:eastAsia="Times New Roman" w:hAnsi="Times New Roman" w:cs="Times New Roman"/>
          <w:sz w:val="24"/>
          <w:szCs w:val="24"/>
          <w:lang w:eastAsia="ru-RU"/>
        </w:rPr>
        <w:t xml:space="preserve"> рабочих дней со дня размещения Итогового протокола на сайте Организатора торгов</w:t>
      </w:r>
      <w:r w:rsidR="00BB1842">
        <w:rPr>
          <w:rFonts w:ascii="Times New Roman" w:eastAsia="Times New Roman" w:hAnsi="Times New Roman" w:cs="Times New Roman"/>
          <w:sz w:val="24"/>
          <w:szCs w:val="24"/>
          <w:lang w:eastAsia="ru-RU"/>
        </w:rPr>
        <w:t>.</w:t>
      </w:r>
    </w:p>
    <w:p w14:paraId="6B2F8F04" w14:textId="3234983E" w:rsidR="00394896"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купли-продажи</w:t>
      </w:r>
      <w:proofErr w:type="gramStart"/>
      <w:r w:rsidR="003054A2" w:rsidRPr="003054A2">
        <w:rPr>
          <w:rFonts w:ascii="Times New Roman" w:eastAsia="Times New Roman" w:hAnsi="Times New Roman" w:cs="Times New Roman"/>
          <w:b/>
          <w:sz w:val="24"/>
          <w:szCs w:val="24"/>
          <w:lang w:eastAsia="ru-RU"/>
        </w:rPr>
        <w:t xml:space="preserve"> </w:t>
      </w:r>
      <w:r w:rsidR="004B5AED" w:rsidRPr="004B5AED">
        <w:rPr>
          <w:rFonts w:ascii="Times New Roman" w:eastAsia="Times New Roman" w:hAnsi="Times New Roman" w:cs="Times New Roman"/>
          <w:sz w:val="24"/>
          <w:szCs w:val="24"/>
          <w:lang w:eastAsia="ru-RU"/>
        </w:rPr>
        <w:t>Н</w:t>
      </w:r>
      <w:proofErr w:type="gramEnd"/>
      <w:r w:rsidR="004B5AED" w:rsidRPr="004B5AED">
        <w:rPr>
          <w:rFonts w:ascii="Times New Roman" w:eastAsia="Times New Roman" w:hAnsi="Times New Roman" w:cs="Times New Roman"/>
          <w:sz w:val="24"/>
          <w:szCs w:val="24"/>
          <w:lang w:eastAsia="ru-RU"/>
        </w:rPr>
        <w:t>е более 10 (десяти) календарных дней, с даты заключения договора</w:t>
      </w:r>
      <w:r w:rsidR="00BC4850" w:rsidRPr="00BC4850">
        <w:t xml:space="preserve"> </w:t>
      </w:r>
      <w:r w:rsidR="00BC4850" w:rsidRPr="00BC4850">
        <w:rPr>
          <w:rFonts w:ascii="Times New Roman" w:eastAsia="Times New Roman" w:hAnsi="Times New Roman" w:cs="Times New Roman"/>
          <w:sz w:val="24"/>
          <w:szCs w:val="24"/>
          <w:lang w:eastAsia="ru-RU"/>
        </w:rPr>
        <w:t>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11F74D9" w14:textId="77777777" w:rsidR="001F2F9F" w:rsidRPr="00394896" w:rsidRDefault="001F2F9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tbl>
      <w:tblPr>
        <w:tblStyle w:val="51"/>
        <w:tblW w:w="4919" w:type="pct"/>
        <w:tblInd w:w="0" w:type="dxa"/>
        <w:tblLook w:val="04A0" w:firstRow="1" w:lastRow="0" w:firstColumn="1" w:lastColumn="0" w:noHBand="0" w:noVBand="1"/>
      </w:tblPr>
      <w:tblGrid>
        <w:gridCol w:w="679"/>
        <w:gridCol w:w="3518"/>
        <w:gridCol w:w="2031"/>
        <w:gridCol w:w="2417"/>
        <w:gridCol w:w="1469"/>
      </w:tblGrid>
      <w:tr w:rsidR="00124038" w:rsidRPr="00124038" w14:paraId="7F69941E" w14:textId="77777777" w:rsidTr="00124038">
        <w:tc>
          <w:tcPr>
            <w:tcW w:w="336" w:type="pct"/>
            <w:tcBorders>
              <w:top w:val="single" w:sz="4" w:space="0" w:color="auto"/>
              <w:left w:val="single" w:sz="4" w:space="0" w:color="auto"/>
              <w:bottom w:val="single" w:sz="4" w:space="0" w:color="auto"/>
              <w:right w:val="single" w:sz="4" w:space="0" w:color="auto"/>
            </w:tcBorders>
            <w:hideMark/>
          </w:tcPr>
          <w:p w14:paraId="23D2BFCA" w14:textId="77777777" w:rsidR="00124038" w:rsidRPr="00124038" w:rsidRDefault="00124038" w:rsidP="00124038">
            <w:pPr>
              <w:jc w:val="center"/>
              <w:rPr>
                <w:lang w:eastAsia="ru-RU"/>
              </w:rPr>
            </w:pPr>
            <w:r w:rsidRPr="00124038">
              <w:rPr>
                <w:lang w:eastAsia="ru-RU"/>
              </w:rPr>
              <w:t>№ лота</w:t>
            </w:r>
          </w:p>
        </w:tc>
        <w:tc>
          <w:tcPr>
            <w:tcW w:w="1739" w:type="pct"/>
            <w:tcBorders>
              <w:top w:val="single" w:sz="4" w:space="0" w:color="auto"/>
              <w:left w:val="single" w:sz="4" w:space="0" w:color="auto"/>
              <w:bottom w:val="single" w:sz="4" w:space="0" w:color="auto"/>
              <w:right w:val="single" w:sz="4" w:space="0" w:color="auto"/>
            </w:tcBorders>
            <w:hideMark/>
          </w:tcPr>
          <w:p w14:paraId="67145C75" w14:textId="77777777" w:rsidR="00124038" w:rsidRPr="00124038" w:rsidRDefault="00124038" w:rsidP="00124038">
            <w:pPr>
              <w:jc w:val="center"/>
              <w:rPr>
                <w:lang w:eastAsia="ru-RU"/>
              </w:rPr>
            </w:pPr>
            <w:r w:rsidRPr="00124038">
              <w:rPr>
                <w:lang w:eastAsia="ru-RU"/>
              </w:rPr>
              <w:t>Наименование и средства</w:t>
            </w:r>
          </w:p>
          <w:p w14:paraId="132BD790" w14:textId="77777777" w:rsidR="00124038" w:rsidRPr="00124038" w:rsidRDefault="00124038" w:rsidP="00124038">
            <w:pPr>
              <w:jc w:val="center"/>
              <w:rPr>
                <w:lang w:eastAsia="ru-RU"/>
              </w:rPr>
            </w:pPr>
            <w:r w:rsidRPr="00124038">
              <w:rPr>
                <w:lang w:eastAsia="ru-RU"/>
              </w:rPr>
              <w:t>идентификации объекта</w:t>
            </w:r>
          </w:p>
        </w:tc>
        <w:tc>
          <w:tcPr>
            <w:tcW w:w="1004" w:type="pct"/>
            <w:tcBorders>
              <w:top w:val="single" w:sz="4" w:space="0" w:color="auto"/>
              <w:left w:val="single" w:sz="4" w:space="0" w:color="auto"/>
              <w:bottom w:val="single" w:sz="4" w:space="0" w:color="auto"/>
              <w:right w:val="single" w:sz="4" w:space="0" w:color="auto"/>
            </w:tcBorders>
            <w:hideMark/>
          </w:tcPr>
          <w:p w14:paraId="13F967BD" w14:textId="77777777" w:rsidR="00124038" w:rsidRPr="00124038" w:rsidRDefault="00124038" w:rsidP="00124038">
            <w:pPr>
              <w:jc w:val="center"/>
              <w:rPr>
                <w:lang w:eastAsia="ru-RU"/>
              </w:rPr>
            </w:pPr>
            <w:r w:rsidRPr="00124038">
              <w:rPr>
                <w:lang w:eastAsia="ru-RU"/>
              </w:rPr>
              <w:t>Начальная цена</w:t>
            </w:r>
          </w:p>
          <w:p w14:paraId="620D6884" w14:textId="77777777" w:rsidR="00124038" w:rsidRPr="00124038" w:rsidRDefault="00124038" w:rsidP="00124038">
            <w:pPr>
              <w:jc w:val="center"/>
              <w:rPr>
                <w:lang w:eastAsia="ru-RU"/>
              </w:rPr>
            </w:pPr>
            <w:r w:rsidRPr="00124038">
              <w:rPr>
                <w:lang w:eastAsia="ru-RU"/>
              </w:rPr>
              <w:t xml:space="preserve">реализации объекта </w:t>
            </w:r>
            <w:proofErr w:type="gramStart"/>
            <w:r w:rsidRPr="00124038">
              <w:rPr>
                <w:lang w:eastAsia="ru-RU"/>
              </w:rPr>
              <w:t>в</w:t>
            </w:r>
            <w:proofErr w:type="gramEnd"/>
          </w:p>
          <w:p w14:paraId="376F8C43" w14:textId="77777777" w:rsidR="00124038" w:rsidRPr="00124038" w:rsidRDefault="00124038" w:rsidP="00124038">
            <w:pPr>
              <w:jc w:val="center"/>
              <w:rPr>
                <w:lang w:eastAsia="ru-RU"/>
              </w:rPr>
            </w:pPr>
            <w:proofErr w:type="spellStart"/>
            <w:r w:rsidRPr="00124038">
              <w:rPr>
                <w:lang w:eastAsia="ru-RU"/>
              </w:rPr>
              <w:t>т.ч</w:t>
            </w:r>
            <w:proofErr w:type="spellEnd"/>
            <w:r w:rsidRPr="00124038">
              <w:rPr>
                <w:lang w:eastAsia="ru-RU"/>
              </w:rPr>
              <w:t>. НДС, руб.</w:t>
            </w:r>
          </w:p>
        </w:tc>
        <w:tc>
          <w:tcPr>
            <w:tcW w:w="1195" w:type="pct"/>
            <w:tcBorders>
              <w:top w:val="single" w:sz="4" w:space="0" w:color="auto"/>
              <w:left w:val="single" w:sz="4" w:space="0" w:color="auto"/>
              <w:bottom w:val="single" w:sz="4" w:space="0" w:color="auto"/>
              <w:right w:val="single" w:sz="4" w:space="0" w:color="auto"/>
            </w:tcBorders>
            <w:hideMark/>
          </w:tcPr>
          <w:p w14:paraId="4D64A6ED" w14:textId="77777777" w:rsidR="00124038" w:rsidRPr="00124038" w:rsidRDefault="00124038" w:rsidP="00124038">
            <w:pPr>
              <w:jc w:val="center"/>
              <w:rPr>
                <w:lang w:eastAsia="ru-RU"/>
              </w:rPr>
            </w:pPr>
            <w:r w:rsidRPr="00124038">
              <w:rPr>
                <w:lang w:eastAsia="ru-RU"/>
              </w:rPr>
              <w:t>Сведения о</w:t>
            </w:r>
          </w:p>
          <w:p w14:paraId="2964C1F8" w14:textId="77777777" w:rsidR="00124038" w:rsidRPr="00124038" w:rsidRDefault="00124038" w:rsidP="00124038">
            <w:pPr>
              <w:jc w:val="center"/>
              <w:rPr>
                <w:lang w:eastAsia="ru-RU"/>
              </w:rPr>
            </w:pPr>
            <w:r w:rsidRPr="00124038">
              <w:rPr>
                <w:lang w:eastAsia="ru-RU"/>
              </w:rPr>
              <w:t>правоустанавливающих</w:t>
            </w:r>
          </w:p>
          <w:p w14:paraId="197201D7" w14:textId="77777777" w:rsidR="00124038" w:rsidRPr="00124038" w:rsidRDefault="00124038" w:rsidP="00124038">
            <w:pPr>
              <w:jc w:val="center"/>
              <w:rPr>
                <w:lang w:eastAsia="ru-RU"/>
              </w:rPr>
            </w:pPr>
            <w:proofErr w:type="gramStart"/>
            <w:r w:rsidRPr="00124038">
              <w:rPr>
                <w:lang w:eastAsia="ru-RU"/>
              </w:rPr>
              <w:t>документах</w:t>
            </w:r>
            <w:proofErr w:type="gramEnd"/>
          </w:p>
        </w:tc>
        <w:tc>
          <w:tcPr>
            <w:tcW w:w="726" w:type="pct"/>
            <w:tcBorders>
              <w:top w:val="single" w:sz="4" w:space="0" w:color="auto"/>
              <w:left w:val="single" w:sz="4" w:space="0" w:color="auto"/>
              <w:bottom w:val="single" w:sz="4" w:space="0" w:color="auto"/>
              <w:right w:val="single" w:sz="4" w:space="0" w:color="auto"/>
            </w:tcBorders>
            <w:hideMark/>
          </w:tcPr>
          <w:p w14:paraId="45BD582B" w14:textId="77777777" w:rsidR="00124038" w:rsidRPr="00124038" w:rsidRDefault="00124038" w:rsidP="00124038">
            <w:pPr>
              <w:jc w:val="center"/>
              <w:rPr>
                <w:lang w:eastAsia="ru-RU"/>
              </w:rPr>
            </w:pPr>
            <w:r w:rsidRPr="00124038">
              <w:rPr>
                <w:lang w:eastAsia="ru-RU"/>
              </w:rPr>
              <w:t>Сведения об обременениях</w:t>
            </w:r>
          </w:p>
          <w:p w14:paraId="0BEC32E8" w14:textId="77777777" w:rsidR="00124038" w:rsidRPr="00124038" w:rsidRDefault="00124038" w:rsidP="00124038">
            <w:pPr>
              <w:jc w:val="center"/>
              <w:rPr>
                <w:lang w:eastAsia="ru-RU"/>
              </w:rPr>
            </w:pPr>
            <w:r w:rsidRPr="00124038">
              <w:rPr>
                <w:lang w:eastAsia="ru-RU"/>
              </w:rPr>
              <w:t>третьих лиц</w:t>
            </w:r>
          </w:p>
        </w:tc>
      </w:tr>
      <w:tr w:rsidR="00124038" w:rsidRPr="00124038" w14:paraId="6B098F43" w14:textId="77777777" w:rsidTr="00124038">
        <w:tc>
          <w:tcPr>
            <w:tcW w:w="336" w:type="pct"/>
            <w:tcBorders>
              <w:top w:val="single" w:sz="4" w:space="0" w:color="auto"/>
              <w:left w:val="single" w:sz="4" w:space="0" w:color="auto"/>
              <w:bottom w:val="single" w:sz="4" w:space="0" w:color="auto"/>
              <w:right w:val="single" w:sz="4" w:space="0" w:color="auto"/>
            </w:tcBorders>
            <w:hideMark/>
          </w:tcPr>
          <w:p w14:paraId="106438B0" w14:textId="77777777" w:rsidR="00124038" w:rsidRPr="00124038" w:rsidRDefault="00124038" w:rsidP="00124038">
            <w:pPr>
              <w:jc w:val="center"/>
              <w:rPr>
                <w:lang w:eastAsia="ru-RU"/>
              </w:rPr>
            </w:pPr>
            <w:r w:rsidRPr="00124038">
              <w:rPr>
                <w:lang w:eastAsia="ru-RU"/>
              </w:rPr>
              <w:t>1.</w:t>
            </w:r>
          </w:p>
        </w:tc>
        <w:tc>
          <w:tcPr>
            <w:tcW w:w="1739" w:type="pct"/>
            <w:tcBorders>
              <w:top w:val="single" w:sz="4" w:space="0" w:color="auto"/>
              <w:left w:val="single" w:sz="4" w:space="0" w:color="auto"/>
              <w:bottom w:val="single" w:sz="4" w:space="0" w:color="auto"/>
              <w:right w:val="single" w:sz="4" w:space="0" w:color="auto"/>
            </w:tcBorders>
          </w:tcPr>
          <w:p w14:paraId="6FDF8017" w14:textId="77777777" w:rsidR="00124038" w:rsidRPr="00124038" w:rsidRDefault="00124038" w:rsidP="00124038">
            <w:pPr>
              <w:widowControl w:val="0"/>
              <w:ind w:right="-57"/>
              <w:jc w:val="center"/>
              <w:rPr>
                <w:lang w:eastAsia="ru-RU"/>
              </w:rPr>
            </w:pPr>
            <w:r w:rsidRPr="00124038">
              <w:rPr>
                <w:lang w:eastAsia="ru-RU"/>
              </w:rPr>
              <w:t xml:space="preserve">Жилой дом площадью 77,1 </w:t>
            </w:r>
            <w:proofErr w:type="spellStart"/>
            <w:r w:rsidRPr="00124038">
              <w:rPr>
                <w:lang w:eastAsia="ru-RU"/>
              </w:rPr>
              <w:t>кв.м</w:t>
            </w:r>
            <w:proofErr w:type="spellEnd"/>
            <w:r w:rsidRPr="00124038">
              <w:rPr>
                <w:lang w:eastAsia="ru-RU"/>
              </w:rPr>
              <w:t xml:space="preserve">. Адрес: Республика Калмыкия, г. Элиста, ул. 9-я </w:t>
            </w:r>
            <w:proofErr w:type="spellStart"/>
            <w:r w:rsidRPr="00124038">
              <w:rPr>
                <w:lang w:eastAsia="ru-RU"/>
              </w:rPr>
              <w:t>Северозападная</w:t>
            </w:r>
            <w:proofErr w:type="spellEnd"/>
            <w:r w:rsidRPr="00124038">
              <w:rPr>
                <w:lang w:eastAsia="ru-RU"/>
              </w:rPr>
              <w:t xml:space="preserve">, д. 11. Кадастровый номер: 08:14:030111:181 и земельный участок площадью 660 +/- 9 </w:t>
            </w:r>
            <w:proofErr w:type="spellStart"/>
            <w:r w:rsidRPr="00124038">
              <w:rPr>
                <w:lang w:eastAsia="ru-RU"/>
              </w:rPr>
              <w:t>кв.м</w:t>
            </w:r>
            <w:proofErr w:type="spellEnd"/>
            <w:r w:rsidRPr="00124038">
              <w:rPr>
                <w:lang w:eastAsia="ru-RU"/>
              </w:rPr>
              <w:t xml:space="preserve">. Категория земель: земли населенных пунктов, для строительства индивидуального жилого дома. Адрес: Республика Калмыкия, г.  Элиста, ул. 9-я </w:t>
            </w:r>
            <w:proofErr w:type="spellStart"/>
            <w:r w:rsidRPr="00124038">
              <w:rPr>
                <w:lang w:eastAsia="ru-RU"/>
              </w:rPr>
              <w:t>Северозападная</w:t>
            </w:r>
            <w:proofErr w:type="spellEnd"/>
            <w:r w:rsidRPr="00124038">
              <w:rPr>
                <w:lang w:eastAsia="ru-RU"/>
              </w:rPr>
              <w:t xml:space="preserve">, д. 11 </w:t>
            </w:r>
          </w:p>
          <w:p w14:paraId="6C41EF7C" w14:textId="77777777" w:rsidR="00124038" w:rsidRPr="00124038" w:rsidRDefault="00124038" w:rsidP="00124038">
            <w:pPr>
              <w:widowControl w:val="0"/>
              <w:ind w:right="-57"/>
              <w:jc w:val="center"/>
              <w:rPr>
                <w:lang w:eastAsia="ru-RU"/>
              </w:rPr>
            </w:pPr>
          </w:p>
          <w:p w14:paraId="388D4F13" w14:textId="77777777" w:rsidR="00124038" w:rsidRPr="00124038" w:rsidRDefault="00124038" w:rsidP="00124038">
            <w:pPr>
              <w:widowControl w:val="0"/>
              <w:ind w:right="-57"/>
              <w:jc w:val="center"/>
              <w:rPr>
                <w:lang w:eastAsia="ru-RU"/>
              </w:rPr>
            </w:pPr>
          </w:p>
        </w:tc>
        <w:tc>
          <w:tcPr>
            <w:tcW w:w="1004" w:type="pct"/>
            <w:tcBorders>
              <w:top w:val="single" w:sz="4" w:space="0" w:color="auto"/>
              <w:left w:val="single" w:sz="4" w:space="0" w:color="auto"/>
              <w:bottom w:val="single" w:sz="4" w:space="0" w:color="auto"/>
              <w:right w:val="single" w:sz="4" w:space="0" w:color="auto"/>
            </w:tcBorders>
          </w:tcPr>
          <w:p w14:paraId="201F5C74" w14:textId="77777777" w:rsidR="00124038" w:rsidRPr="00124038" w:rsidRDefault="00124038" w:rsidP="00124038">
            <w:pPr>
              <w:jc w:val="center"/>
              <w:rPr>
                <w:lang w:eastAsia="ru-RU"/>
              </w:rPr>
            </w:pPr>
            <w:r w:rsidRPr="00124038">
              <w:rPr>
                <w:lang w:eastAsia="ru-RU"/>
              </w:rPr>
              <w:t>1 782 900,00 (Один миллион семьсот восемьдесят две тысячи девятьсот) рублей 00 копеек</w:t>
            </w:r>
          </w:p>
          <w:p w14:paraId="6E2A8BBB" w14:textId="77777777" w:rsidR="00124038" w:rsidRPr="00124038" w:rsidRDefault="00124038" w:rsidP="00124038">
            <w:pPr>
              <w:jc w:val="center"/>
              <w:rPr>
                <w:lang w:eastAsia="ru-RU"/>
              </w:rPr>
            </w:pPr>
          </w:p>
          <w:p w14:paraId="713F6A9C" w14:textId="60FF2074" w:rsidR="00124038" w:rsidRPr="00124038" w:rsidRDefault="00124038" w:rsidP="00124038">
            <w:pPr>
              <w:jc w:val="center"/>
              <w:rPr>
                <w:lang w:eastAsia="ru-RU"/>
              </w:rPr>
            </w:pPr>
          </w:p>
        </w:tc>
        <w:tc>
          <w:tcPr>
            <w:tcW w:w="1195" w:type="pct"/>
            <w:tcBorders>
              <w:top w:val="single" w:sz="4" w:space="0" w:color="auto"/>
              <w:left w:val="single" w:sz="4" w:space="0" w:color="auto"/>
              <w:bottom w:val="single" w:sz="4" w:space="0" w:color="auto"/>
              <w:right w:val="single" w:sz="4" w:space="0" w:color="auto"/>
            </w:tcBorders>
            <w:hideMark/>
          </w:tcPr>
          <w:p w14:paraId="28E9CF3F" w14:textId="52290134" w:rsidR="00124038" w:rsidRPr="00124038" w:rsidRDefault="00124038" w:rsidP="00124038">
            <w:pPr>
              <w:jc w:val="center"/>
              <w:rPr>
                <w:lang w:eastAsia="ru-RU"/>
              </w:rPr>
            </w:pPr>
            <w:r w:rsidRPr="00124038">
              <w:rPr>
                <w:lang w:eastAsia="ru-RU"/>
              </w:rPr>
              <w:t xml:space="preserve">Согласно Приложению 1 к </w:t>
            </w:r>
            <w:r>
              <w:rPr>
                <w:lang w:eastAsia="ru-RU"/>
              </w:rPr>
              <w:t>Торговой документации</w:t>
            </w:r>
          </w:p>
        </w:tc>
        <w:tc>
          <w:tcPr>
            <w:tcW w:w="726" w:type="pct"/>
            <w:tcBorders>
              <w:top w:val="single" w:sz="4" w:space="0" w:color="auto"/>
              <w:left w:val="single" w:sz="4" w:space="0" w:color="auto"/>
              <w:bottom w:val="single" w:sz="4" w:space="0" w:color="auto"/>
              <w:right w:val="single" w:sz="4" w:space="0" w:color="auto"/>
            </w:tcBorders>
            <w:hideMark/>
          </w:tcPr>
          <w:p w14:paraId="2CC05F02" w14:textId="77777777" w:rsidR="00124038" w:rsidRPr="00124038" w:rsidRDefault="00124038" w:rsidP="00124038">
            <w:pPr>
              <w:jc w:val="center"/>
              <w:rPr>
                <w:lang w:eastAsia="ru-RU"/>
              </w:rPr>
            </w:pPr>
            <w:r w:rsidRPr="00124038">
              <w:rPr>
                <w:lang w:eastAsia="ru-RU"/>
              </w:rPr>
              <w:t>Обременения отсутствуют</w:t>
            </w:r>
          </w:p>
        </w:tc>
      </w:tr>
    </w:tbl>
    <w:p w14:paraId="0091648B" w14:textId="77777777" w:rsidR="00D5595E" w:rsidRPr="00394896" w:rsidRDefault="00D5595E" w:rsidP="002D1AF5">
      <w:pPr>
        <w:keepNext/>
        <w:keepLines/>
        <w:spacing w:after="0" w:line="240" w:lineRule="auto"/>
        <w:rPr>
          <w:rFonts w:ascii="Times New Roman" w:eastAsia="Times New Roman" w:hAnsi="Times New Roman" w:cs="Times New Roman"/>
          <w:sz w:val="24"/>
          <w:szCs w:val="24"/>
          <w:lang w:eastAsia="ru-RU"/>
        </w:rPr>
      </w:pPr>
    </w:p>
    <w:p w14:paraId="1D65401F" w14:textId="0953E022" w:rsidR="00983BCB" w:rsidRDefault="00124038" w:rsidP="002C3322">
      <w:pPr>
        <w:keepNext/>
        <w:keepLines/>
        <w:tabs>
          <w:tab w:val="left" w:pos="142"/>
          <w:tab w:val="left" w:pos="2254"/>
        </w:tabs>
        <w:spacing w:after="0" w:line="240" w:lineRule="auto"/>
        <w:jc w:val="both"/>
        <w:rPr>
          <w:rFonts w:ascii="Times New Roman" w:eastAsia="Times New Roman" w:hAnsi="Times New Roman" w:cs="Times New Roman"/>
          <w:spacing w:val="-2"/>
          <w:sz w:val="24"/>
          <w:szCs w:val="24"/>
          <w:lang w:eastAsia="ru-RU"/>
        </w:rPr>
      </w:pPr>
      <w:r w:rsidRPr="00124038">
        <w:rPr>
          <w:rFonts w:ascii="Times New Roman" w:eastAsia="Times New Roman" w:hAnsi="Times New Roman" w:cs="Times New Roman"/>
          <w:spacing w:val="-2"/>
          <w:sz w:val="24"/>
          <w:szCs w:val="24"/>
          <w:lang w:eastAsia="ru-RU"/>
        </w:rPr>
        <w:t xml:space="preserve">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собственности, а именно: выписки из ЕГРН, указанные в Приложении 1 к Заданию. По вопросу ознакомления обращаться к представителю Принципала: Кошелев Владимир Владимирович, начальник отдела по работе с проблемной задолженностью физических лиц Ростовского РФ, 8 (863) 287-01-73, </w:t>
      </w:r>
      <w:proofErr w:type="spellStart"/>
      <w:r w:rsidRPr="00124038">
        <w:rPr>
          <w:rFonts w:ascii="Times New Roman" w:eastAsia="Times New Roman" w:hAnsi="Times New Roman" w:cs="Times New Roman"/>
          <w:spacing w:val="-2"/>
          <w:sz w:val="24"/>
          <w:szCs w:val="24"/>
          <w:lang w:eastAsia="ru-RU"/>
        </w:rPr>
        <w:t>вн</w:t>
      </w:r>
      <w:proofErr w:type="spellEnd"/>
      <w:r w:rsidRPr="00124038">
        <w:rPr>
          <w:rFonts w:ascii="Times New Roman" w:eastAsia="Times New Roman" w:hAnsi="Times New Roman" w:cs="Times New Roman"/>
          <w:spacing w:val="-2"/>
          <w:sz w:val="24"/>
          <w:szCs w:val="24"/>
          <w:lang w:eastAsia="ru-RU"/>
        </w:rPr>
        <w:t xml:space="preserve">. (707) – 1277, + 7 909 424 03 03, Koshelevvv@rostov.rshb.ru   </w:t>
      </w:r>
    </w:p>
    <w:p w14:paraId="73A9F990" w14:textId="77777777" w:rsidR="00124038" w:rsidRDefault="00124038" w:rsidP="002C3322">
      <w:pPr>
        <w:keepNext/>
        <w:keepLines/>
        <w:tabs>
          <w:tab w:val="left" w:pos="142"/>
          <w:tab w:val="left" w:pos="2254"/>
        </w:tabs>
        <w:spacing w:after="0" w:line="240" w:lineRule="auto"/>
        <w:jc w:val="both"/>
        <w:rPr>
          <w:rFonts w:ascii="Times New Roman" w:eastAsia="Times New Roman" w:hAnsi="Times New Roman" w:cs="Times New Roman"/>
          <w:spacing w:val="-2"/>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1.2. </w:t>
      </w:r>
      <w:proofErr w:type="gramStart"/>
      <w:r w:rsidRPr="00394896">
        <w:rPr>
          <w:rFonts w:ascii="Times New Roman" w:eastAsia="Times New Roman" w:hAnsi="Times New Roman" w:cs="Times New Roman"/>
          <w:sz w:val="24"/>
          <w:szCs w:val="24"/>
        </w:rPr>
        <w:t>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394896">
        <w:rPr>
          <w:rFonts w:ascii="Times New Roman" w:eastAsia="Times New Roman" w:hAnsi="Times New Roman" w:cs="Times New Roman"/>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A17BDA7"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5CBF63D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DEEE0A4"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 </w:t>
      </w:r>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394896">
        <w:rPr>
          <w:rFonts w:ascii="Times New Roman" w:eastAsia="Times New Roman" w:hAnsi="Times New Roman" w:cs="Times New Roman"/>
          <w:sz w:val="24"/>
          <w:szCs w:val="24"/>
        </w:rPr>
        <w:t>дня, следующего за днем проведения торгов передает</w:t>
      </w:r>
      <w:proofErr w:type="gramEnd"/>
      <w:r w:rsidRPr="00394896">
        <w:rPr>
          <w:rFonts w:ascii="Times New Roman" w:eastAsia="Times New Roman" w:hAnsi="Times New Roman" w:cs="Times New Roman"/>
          <w:sz w:val="24"/>
          <w:szCs w:val="24"/>
        </w:rPr>
        <w:t xml:space="preserve">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proofErr w:type="gramStart"/>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w:t>
      </w:r>
      <w:proofErr w:type="gramEnd"/>
      <w:r w:rsidRPr="00FB0E29">
        <w:rPr>
          <w:rFonts w:ascii="Times New Roman" w:eastAsia="Times New Roman" w:hAnsi="Times New Roman" w:cs="Times New Roman"/>
          <w:sz w:val="24"/>
          <w:szCs w:val="24"/>
        </w:rPr>
        <w:t xml:space="preserve">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участию в торговой процедуре.</w:t>
      </w:r>
    </w:p>
    <w:p w14:paraId="75C88170"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 xml:space="preserve">Заявка </w:t>
      </w:r>
      <w:proofErr w:type="gramStart"/>
      <w:r w:rsidRPr="00E45AFC">
        <w:rPr>
          <w:rFonts w:ascii="Times New Roman" w:eastAsia="Times New Roman" w:hAnsi="Times New Roman" w:cs="Times New Roman"/>
          <w:sz w:val="24"/>
          <w:szCs w:val="24"/>
        </w:rPr>
        <w:t>на участие в Торговой процедуре подана по истечении срока приема заявок на участие в торгах</w:t>
      </w:r>
      <w:proofErr w:type="gramEnd"/>
      <w:r w:rsidRPr="00E45AFC">
        <w:rPr>
          <w:rFonts w:ascii="Times New Roman" w:eastAsia="Times New Roman" w:hAnsi="Times New Roman" w:cs="Times New Roman"/>
          <w:sz w:val="24"/>
          <w:szCs w:val="24"/>
        </w:rPr>
        <w:t>, указанного в Извещении;</w:t>
      </w:r>
    </w:p>
    <w:p w14:paraId="226C015E"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6A489BF6" w14:textId="77777777" w:rsidR="004111F7" w:rsidRPr="00394896" w:rsidRDefault="004111F7" w:rsidP="00394896">
      <w:pPr>
        <w:tabs>
          <w:tab w:val="left" w:pos="1275"/>
        </w:tabs>
        <w:spacing w:after="0" w:line="264" w:lineRule="auto"/>
        <w:ind w:right="20" w:firstLine="709"/>
        <w:jc w:val="both"/>
        <w:rPr>
          <w:rFonts w:ascii="Times New Roman" w:eastAsia="Times New Roman" w:hAnsi="Times New Roman" w:cs="Times New Roman"/>
          <w:sz w:val="24"/>
          <w:szCs w:val="24"/>
        </w:rPr>
      </w:pP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3"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3"/>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4" w:name="OLE_LINK3"/>
      <w:bookmarkStart w:id="5" w:name="OLE_LINK4"/>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 xml:space="preserve">ринять решение о внесении изменений в Извещение о проведении аукциона «на понижение», документацию об аукционе «на понижение». В течение одного дня </w:t>
      </w:r>
      <w:proofErr w:type="gramStart"/>
      <w:r w:rsidRPr="00394896">
        <w:rPr>
          <w:rFonts w:ascii="Times New Roman" w:eastAsia="Times New Roman" w:hAnsi="Times New Roman" w:cs="Times New Roman"/>
          <w:sz w:val="24"/>
          <w:szCs w:val="24"/>
        </w:rPr>
        <w:t>с даты принятия</w:t>
      </w:r>
      <w:proofErr w:type="gramEnd"/>
      <w:r w:rsidRPr="00394896">
        <w:rPr>
          <w:rFonts w:ascii="Times New Roman" w:eastAsia="Times New Roman" w:hAnsi="Times New Roman" w:cs="Times New Roman"/>
          <w:sz w:val="24"/>
          <w:szCs w:val="24"/>
        </w:rPr>
        <w:t xml:space="preserve">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4"/>
    <w:bookmarkEnd w:id="5"/>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334566DA"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w:t>
      </w:r>
      <w:proofErr w:type="gramStart"/>
      <w:r w:rsidRPr="00394896">
        <w:rPr>
          <w:rFonts w:ascii="Times New Roman" w:eastAsia="Times New Roman" w:hAnsi="Times New Roman" w:cs="Times New Roman"/>
          <w:sz w:val="24"/>
          <w:szCs w:val="24"/>
        </w:rPr>
        <w:t xml:space="preserve">Для участия в аукционе «на понижение» Претенденты перечисляют задаток в размере </w:t>
      </w:r>
      <w:r w:rsidR="00124038" w:rsidRPr="00124038">
        <w:rPr>
          <w:rFonts w:ascii="Times New Roman" w:eastAsia="Times New Roman" w:hAnsi="Times New Roman" w:cs="Times New Roman"/>
          <w:sz w:val="24"/>
          <w:szCs w:val="24"/>
        </w:rPr>
        <w:t>267 300 (Двести шестьдесят семь тысяч триста)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roofErr w:type="gramEnd"/>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не признанному участником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участнику Торгов, не ставшему победителем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w:t>
      </w:r>
      <w:proofErr w:type="gramStart"/>
      <w:r w:rsidRPr="00394896">
        <w:rPr>
          <w:rFonts w:ascii="Times New Roman" w:eastAsia="Times New Roman" w:hAnsi="Times New Roman" w:cs="Times New Roman"/>
          <w:sz w:val="24"/>
          <w:szCs w:val="24"/>
        </w:rPr>
        <w:t>несостоявшимися</w:t>
      </w:r>
      <w:proofErr w:type="gramEnd"/>
      <w:r w:rsidRPr="00394896">
        <w:rPr>
          <w:rFonts w:ascii="Times New Roman" w:eastAsia="Times New Roman" w:hAnsi="Times New Roman" w:cs="Times New Roman"/>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xml:space="preserve">.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proofErr w:type="gramStart"/>
      <w:r w:rsidRPr="00394896">
        <w:rPr>
          <w:rFonts w:ascii="Times New Roman" w:eastAsia="Times New Roman" w:hAnsi="Times New Roman" w:cs="Times New Roman"/>
          <w:sz w:val="24"/>
          <w:szCs w:val="24"/>
        </w:rPr>
        <w:t>уклонится</w:t>
      </w:r>
      <w:proofErr w:type="gramEnd"/>
      <w:r w:rsidRPr="00394896">
        <w:rPr>
          <w:rFonts w:ascii="Times New Roman" w:eastAsia="Times New Roman" w:hAnsi="Times New Roman" w:cs="Times New Roman"/>
          <w:sz w:val="24"/>
          <w:szCs w:val="24"/>
        </w:rPr>
        <w:t xml:space="preserve">/откажется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398"/>
      </w:tblGrid>
      <w:tr w:rsidR="00124038" w:rsidRPr="00124038" w14:paraId="00DE538F" w14:textId="77777777" w:rsidTr="00124038">
        <w:trPr>
          <w:trHeight w:val="416"/>
        </w:trPr>
        <w:tc>
          <w:tcPr>
            <w:tcW w:w="2554" w:type="dxa"/>
            <w:tcBorders>
              <w:top w:val="single" w:sz="4" w:space="0" w:color="auto"/>
              <w:left w:val="single" w:sz="4" w:space="0" w:color="auto"/>
              <w:bottom w:val="single" w:sz="4" w:space="0" w:color="auto"/>
              <w:right w:val="single" w:sz="4" w:space="0" w:color="auto"/>
            </w:tcBorders>
            <w:hideMark/>
          </w:tcPr>
          <w:p w14:paraId="1CEE3670"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Особенности проведения  Торговой процедуры в форме аукциона «на повышение»</w:t>
            </w:r>
          </w:p>
        </w:tc>
        <w:tc>
          <w:tcPr>
            <w:tcW w:w="7398" w:type="dxa"/>
            <w:tcBorders>
              <w:top w:val="single" w:sz="4" w:space="0" w:color="auto"/>
              <w:left w:val="single" w:sz="4" w:space="0" w:color="auto"/>
              <w:bottom w:val="single" w:sz="4" w:space="0" w:color="auto"/>
              <w:right w:val="single" w:sz="4" w:space="0" w:color="auto"/>
            </w:tcBorders>
            <w:hideMark/>
          </w:tcPr>
          <w:p w14:paraId="79AB3210"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Торговая процедура в форме аукциона «на понижение» проводится путем</w:t>
            </w:r>
          </w:p>
          <w:p w14:paraId="37AC85AD"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последовательного повышения участниками аукциона начальной цены продажи на величину, равную либо кратную величине «шага аукциона».</w:t>
            </w:r>
          </w:p>
          <w:p w14:paraId="70910D0B"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Торговая процедура в форме аукциона «на повышение» проводится в дату и</w:t>
            </w:r>
          </w:p>
          <w:p w14:paraId="07AE5EFA"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время, </w:t>
            </w:r>
            <w:proofErr w:type="gramStart"/>
            <w:r w:rsidRPr="00124038">
              <w:rPr>
                <w:rFonts w:ascii="Times New Roman" w:eastAsia="Times New Roman" w:hAnsi="Times New Roman" w:cs="Times New Roman"/>
                <w:sz w:val="20"/>
                <w:szCs w:val="20"/>
              </w:rPr>
              <w:t>указанные</w:t>
            </w:r>
            <w:proofErr w:type="gramEnd"/>
            <w:r w:rsidRPr="00124038">
              <w:rPr>
                <w:rFonts w:ascii="Times New Roman" w:eastAsia="Times New Roman" w:hAnsi="Times New Roman" w:cs="Times New Roman"/>
                <w:sz w:val="20"/>
                <w:szCs w:val="20"/>
              </w:rPr>
              <w:t xml:space="preserve"> в Извещении.</w:t>
            </w:r>
          </w:p>
          <w:p w14:paraId="477E5996"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Проведение Торговой процедуры в форме аукциона «на понижение» состоит из следующих частей: - размещение Извещения о проведении Торговой процедуры в форме аукциона «на понижение» и Торговой документации;</w:t>
            </w:r>
          </w:p>
          <w:p w14:paraId="553FB53E"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прием Заявок на участие в Торговой процедуре;</w:t>
            </w:r>
          </w:p>
          <w:p w14:paraId="0818FEFE"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прием обеспечения заявки на участие в Торговой процедуре в форме аукциона «на понижение» от Заявителей;</w:t>
            </w:r>
          </w:p>
          <w:p w14:paraId="41FB063A"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рассмотрение заявок, определение состава Претендентов на участие в Торговой процедуре в форме аукциона «на понижение»;</w:t>
            </w:r>
          </w:p>
          <w:p w14:paraId="562AC280"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подведение итогов Торговой процедуры в форме аукциона «на понижение»,</w:t>
            </w:r>
          </w:p>
          <w:p w14:paraId="417483C3"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размещение протокола об итогах аукциона «на понижение»;</w:t>
            </w:r>
          </w:p>
          <w:p w14:paraId="2DEFB2D2"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 возврат обеспечения заявки на участие в Торговой процедуре </w:t>
            </w:r>
            <w:proofErr w:type="gramStart"/>
            <w:r w:rsidRPr="00124038">
              <w:rPr>
                <w:rFonts w:ascii="Times New Roman" w:eastAsia="Times New Roman" w:hAnsi="Times New Roman" w:cs="Times New Roman"/>
                <w:sz w:val="20"/>
                <w:szCs w:val="20"/>
              </w:rPr>
              <w:t>проигравшим</w:t>
            </w:r>
            <w:proofErr w:type="gramEnd"/>
          </w:p>
          <w:p w14:paraId="5FABFA1A"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Претендентам;</w:t>
            </w:r>
          </w:p>
          <w:p w14:paraId="63A6B326"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перечисление суммы обеспечения заявки на участие в Торговой процедуре</w:t>
            </w:r>
          </w:p>
          <w:p w14:paraId="0D33B4BD"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Победителя аукциона «на повышение» Принципалу;</w:t>
            </w:r>
          </w:p>
          <w:p w14:paraId="13A97AC6"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иные мероприятия, предусмотренные настоящим Договором и</w:t>
            </w:r>
          </w:p>
          <w:p w14:paraId="67D7B5AD"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законодательством Российской Федерации.</w:t>
            </w:r>
          </w:p>
          <w:p w14:paraId="59618D15"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Аукцион «на понижение» признается несостоявшимся в следующих случаях:</w:t>
            </w:r>
          </w:p>
          <w:p w14:paraId="0E6E334D"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не было подано ни одной заявки на участие либо ни один из Заявителей не</w:t>
            </w:r>
          </w:p>
          <w:p w14:paraId="34B2CE31"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proofErr w:type="gramStart"/>
            <w:r w:rsidRPr="00124038">
              <w:rPr>
                <w:rFonts w:ascii="Times New Roman" w:eastAsia="Times New Roman" w:hAnsi="Times New Roman" w:cs="Times New Roman"/>
                <w:sz w:val="20"/>
                <w:szCs w:val="20"/>
              </w:rPr>
              <w:t>признан</w:t>
            </w:r>
            <w:proofErr w:type="gramEnd"/>
            <w:r w:rsidRPr="00124038">
              <w:rPr>
                <w:rFonts w:ascii="Times New Roman" w:eastAsia="Times New Roman" w:hAnsi="Times New Roman" w:cs="Times New Roman"/>
                <w:sz w:val="20"/>
                <w:szCs w:val="20"/>
              </w:rPr>
              <w:t xml:space="preserve"> участником аукциона;</w:t>
            </w:r>
          </w:p>
          <w:p w14:paraId="4A9CF0A3"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01C877F5"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 ни один из Претендентов не сделал предложение о приобретении объекта </w:t>
            </w:r>
            <w:proofErr w:type="gramStart"/>
            <w:r w:rsidRPr="00124038">
              <w:rPr>
                <w:rFonts w:ascii="Times New Roman" w:eastAsia="Times New Roman" w:hAnsi="Times New Roman" w:cs="Times New Roman"/>
                <w:sz w:val="20"/>
                <w:szCs w:val="20"/>
              </w:rPr>
              <w:t>по</w:t>
            </w:r>
            <w:proofErr w:type="gramEnd"/>
          </w:p>
          <w:p w14:paraId="02AEA436" w14:textId="77777777" w:rsidR="00124038" w:rsidRPr="00124038" w:rsidRDefault="00124038" w:rsidP="00124038">
            <w:pPr>
              <w:tabs>
                <w:tab w:val="left" w:pos="29"/>
              </w:tabs>
              <w:autoSpaceDE w:val="0"/>
              <w:autoSpaceDN w:val="0"/>
              <w:adjustRightInd w:val="0"/>
              <w:spacing w:after="0" w:line="256" w:lineRule="auto"/>
              <w:ind w:firstLine="29"/>
              <w:jc w:val="both"/>
              <w:rPr>
                <w:rFonts w:ascii="Times New Roman" w:eastAsia="Calibri" w:hAnsi="Times New Roman" w:cs="Times New Roman"/>
                <w:sz w:val="20"/>
                <w:szCs w:val="20"/>
              </w:rPr>
            </w:pPr>
            <w:r w:rsidRPr="00124038">
              <w:rPr>
                <w:rFonts w:ascii="Times New Roman" w:eastAsia="Times New Roman" w:hAnsi="Times New Roman" w:cs="Times New Roman"/>
                <w:sz w:val="20"/>
                <w:szCs w:val="20"/>
              </w:rPr>
              <w:t>начальной цене продажи.</w:t>
            </w:r>
          </w:p>
        </w:tc>
      </w:tr>
      <w:tr w:rsidR="00124038" w:rsidRPr="00124038" w14:paraId="0E6CBDB8" w14:textId="77777777" w:rsidTr="00124038">
        <w:tc>
          <w:tcPr>
            <w:tcW w:w="2554" w:type="dxa"/>
            <w:tcBorders>
              <w:top w:val="single" w:sz="4" w:space="0" w:color="auto"/>
              <w:left w:val="single" w:sz="4" w:space="0" w:color="auto"/>
              <w:bottom w:val="single" w:sz="4" w:space="0" w:color="auto"/>
              <w:right w:val="single" w:sz="4" w:space="0" w:color="auto"/>
            </w:tcBorders>
            <w:hideMark/>
          </w:tcPr>
          <w:p w14:paraId="6C38584D"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b/>
                <w:sz w:val="20"/>
                <w:szCs w:val="20"/>
              </w:rPr>
            </w:pPr>
            <w:r w:rsidRPr="00124038">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повышение»</w:t>
            </w:r>
          </w:p>
        </w:tc>
        <w:tc>
          <w:tcPr>
            <w:tcW w:w="7398" w:type="dxa"/>
            <w:tcBorders>
              <w:top w:val="single" w:sz="4" w:space="0" w:color="auto"/>
              <w:left w:val="single" w:sz="4" w:space="0" w:color="auto"/>
              <w:bottom w:val="single" w:sz="4" w:space="0" w:color="auto"/>
              <w:right w:val="single" w:sz="4" w:space="0" w:color="auto"/>
            </w:tcBorders>
            <w:hideMark/>
          </w:tcPr>
          <w:p w14:paraId="48A085DD"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Не менее чем за 30 (тридцать) календарных дней до объявленной даты</w:t>
            </w:r>
          </w:p>
          <w:p w14:paraId="513C393D" w14:textId="77777777" w:rsidR="00124038" w:rsidRPr="00124038" w:rsidRDefault="00124038" w:rsidP="00124038">
            <w:pPr>
              <w:tabs>
                <w:tab w:val="left" w:pos="0"/>
                <w:tab w:val="left" w:pos="1276"/>
              </w:tabs>
              <w:suppressAutoHyphens/>
              <w:autoSpaceDE w:val="0"/>
              <w:autoSpaceDN w:val="0"/>
              <w:adjustRightInd w:val="0"/>
              <w:spacing w:after="0" w:line="256" w:lineRule="auto"/>
              <w:jc w:val="both"/>
              <w:outlineLvl w:val="1"/>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проведения Торговой процедуры в форме аукциона «на понижение».</w:t>
            </w:r>
          </w:p>
        </w:tc>
      </w:tr>
      <w:tr w:rsidR="00124038" w:rsidRPr="00124038" w14:paraId="6AC58798" w14:textId="77777777" w:rsidTr="00124038">
        <w:trPr>
          <w:trHeight w:val="674"/>
        </w:trPr>
        <w:tc>
          <w:tcPr>
            <w:tcW w:w="2554" w:type="dxa"/>
            <w:tcBorders>
              <w:top w:val="single" w:sz="4" w:space="0" w:color="auto"/>
              <w:left w:val="single" w:sz="4" w:space="0" w:color="auto"/>
              <w:bottom w:val="single" w:sz="4" w:space="0" w:color="auto"/>
              <w:right w:val="single" w:sz="4" w:space="0" w:color="auto"/>
            </w:tcBorders>
            <w:hideMark/>
          </w:tcPr>
          <w:p w14:paraId="7CB6E62D"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Срок начала принятия Заявок на участие в Торговой процедуре в форме аукциона «на повышение»</w:t>
            </w:r>
          </w:p>
        </w:tc>
        <w:tc>
          <w:tcPr>
            <w:tcW w:w="7398" w:type="dxa"/>
            <w:tcBorders>
              <w:top w:val="single" w:sz="4" w:space="0" w:color="auto"/>
              <w:left w:val="single" w:sz="4" w:space="0" w:color="auto"/>
              <w:bottom w:val="single" w:sz="4" w:space="0" w:color="auto"/>
              <w:right w:val="single" w:sz="4" w:space="0" w:color="auto"/>
            </w:tcBorders>
            <w:hideMark/>
          </w:tcPr>
          <w:p w14:paraId="0FA93E3E" w14:textId="77777777" w:rsidR="00124038" w:rsidRPr="00124038" w:rsidRDefault="00124038" w:rsidP="00124038">
            <w:pPr>
              <w:tabs>
                <w:tab w:val="left" w:pos="0"/>
                <w:tab w:val="left" w:pos="1134"/>
              </w:tabs>
              <w:suppressAutoHyphens/>
              <w:autoSpaceDE w:val="0"/>
              <w:autoSpaceDN w:val="0"/>
              <w:adjustRightInd w:val="0"/>
              <w:spacing w:after="0" w:line="256" w:lineRule="auto"/>
              <w:jc w:val="both"/>
              <w:outlineLvl w:val="1"/>
              <w:rPr>
                <w:rFonts w:ascii="Times New Roman" w:eastAsia="Calibri" w:hAnsi="Times New Roman" w:cs="Times New Roman"/>
                <w:sz w:val="20"/>
                <w:szCs w:val="20"/>
              </w:rPr>
            </w:pPr>
            <w:r w:rsidRPr="00124038">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124038" w:rsidRPr="00124038" w14:paraId="5E664830"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36EFBF77"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b/>
                <w:sz w:val="20"/>
                <w:szCs w:val="20"/>
              </w:rPr>
            </w:pPr>
            <w:r w:rsidRPr="00124038">
              <w:rPr>
                <w:rFonts w:ascii="Times New Roman" w:eastAsia="Calibri" w:hAnsi="Times New Roman" w:cs="Times New Roman"/>
                <w:sz w:val="20"/>
                <w:szCs w:val="20"/>
              </w:rPr>
              <w:t>Продолжительность приема Заявок на участие в торговой процедуре</w:t>
            </w:r>
          </w:p>
        </w:tc>
        <w:tc>
          <w:tcPr>
            <w:tcW w:w="7398" w:type="dxa"/>
            <w:tcBorders>
              <w:top w:val="single" w:sz="4" w:space="0" w:color="auto"/>
              <w:left w:val="single" w:sz="4" w:space="0" w:color="auto"/>
              <w:bottom w:val="single" w:sz="4" w:space="0" w:color="auto"/>
              <w:right w:val="single" w:sz="4" w:space="0" w:color="auto"/>
            </w:tcBorders>
            <w:hideMark/>
          </w:tcPr>
          <w:p w14:paraId="26910BC7" w14:textId="77777777" w:rsidR="00124038" w:rsidRPr="00124038" w:rsidRDefault="00124038" w:rsidP="00124038">
            <w:pPr>
              <w:autoSpaceDE w:val="0"/>
              <w:autoSpaceDN w:val="0"/>
              <w:adjustRightInd w:val="0"/>
              <w:spacing w:after="0" w:line="256" w:lineRule="auto"/>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Общая продолжительность приема Заявок на участие в Торговых процедурах</w:t>
            </w:r>
          </w:p>
          <w:p w14:paraId="257D9914" w14:textId="77777777" w:rsidR="00124038" w:rsidRPr="00124038" w:rsidRDefault="00124038" w:rsidP="00124038">
            <w:pPr>
              <w:autoSpaceDE w:val="0"/>
              <w:autoSpaceDN w:val="0"/>
              <w:adjustRightInd w:val="0"/>
              <w:spacing w:after="0" w:line="256" w:lineRule="auto"/>
              <w:rPr>
                <w:rFonts w:ascii="Times New Roman" w:eastAsia="Calibri" w:hAnsi="Times New Roman" w:cs="Times New Roman"/>
                <w:b/>
                <w:sz w:val="20"/>
                <w:szCs w:val="20"/>
              </w:rPr>
            </w:pPr>
            <w:r w:rsidRPr="00124038">
              <w:rPr>
                <w:rFonts w:ascii="Times New Roman" w:eastAsia="Times New Roman" w:hAnsi="Times New Roman" w:cs="Times New Roman"/>
                <w:sz w:val="20"/>
                <w:szCs w:val="20"/>
              </w:rPr>
              <w:t xml:space="preserve">должна быть не менее 25 (двадцати пяти) календарных дней с даты, следующей за днем публикации извещения, и заканчиваться не </w:t>
            </w:r>
            <w:proofErr w:type="gramStart"/>
            <w:r w:rsidRPr="00124038">
              <w:rPr>
                <w:rFonts w:ascii="Times New Roman" w:eastAsia="Times New Roman" w:hAnsi="Times New Roman" w:cs="Times New Roman"/>
                <w:sz w:val="20"/>
                <w:szCs w:val="20"/>
              </w:rPr>
              <w:t>позднее</w:t>
            </w:r>
            <w:proofErr w:type="gramEnd"/>
            <w:r w:rsidRPr="00124038">
              <w:rPr>
                <w:rFonts w:ascii="Times New Roman" w:eastAsia="Times New Roman" w:hAnsi="Times New Roman" w:cs="Times New Roman"/>
                <w:sz w:val="20"/>
                <w:szCs w:val="20"/>
              </w:rPr>
              <w:t xml:space="preserve"> чем за 3 (три) рабочих дня до определения участников, если иное не предусмотрено Заданием.</w:t>
            </w:r>
          </w:p>
        </w:tc>
      </w:tr>
      <w:tr w:rsidR="00124038" w:rsidRPr="00124038" w14:paraId="7DA43753"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14EC54EC"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398" w:type="dxa"/>
            <w:tcBorders>
              <w:top w:val="single" w:sz="4" w:space="0" w:color="auto"/>
              <w:left w:val="single" w:sz="4" w:space="0" w:color="auto"/>
              <w:bottom w:val="single" w:sz="4" w:space="0" w:color="auto"/>
              <w:right w:val="single" w:sz="4" w:space="0" w:color="auto"/>
            </w:tcBorders>
          </w:tcPr>
          <w:p w14:paraId="4982A266"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6" w:name="OLE_LINK126"/>
            <w:bookmarkStart w:id="7" w:name="OLE_LINK125"/>
            <w:bookmarkStart w:id="8" w:name="OLE_LINK63"/>
            <w:bookmarkStart w:id="9" w:name="OLE_LINK124"/>
            <w:bookmarkStart w:id="10" w:name="OLE_LINK123"/>
            <w:r w:rsidRPr="00124038">
              <w:rPr>
                <w:rFonts w:ascii="Times New Roman" w:eastAsia="Calibri" w:hAnsi="Times New Roman" w:cs="Times New Roman"/>
                <w:sz w:val="20"/>
                <w:szCs w:val="20"/>
              </w:rPr>
              <w:t xml:space="preserve">- </w:t>
            </w:r>
            <w:bookmarkStart w:id="11" w:name="OLE_LINK128"/>
            <w:bookmarkStart w:id="12" w:name="OLE_LINK127"/>
            <w:r w:rsidRPr="00124038">
              <w:rPr>
                <w:rFonts w:ascii="Times New Roman" w:eastAsia="Calibri" w:hAnsi="Times New Roman" w:cs="Times New Roman"/>
                <w:sz w:val="20"/>
                <w:szCs w:val="20"/>
              </w:rPr>
              <w:t>платежный документ, подтверждающий внесение обеспечения Заявки на участие в торговой процедуре с отметкой банка;</w:t>
            </w:r>
            <w:bookmarkEnd w:id="11"/>
            <w:bookmarkEnd w:id="12"/>
          </w:p>
          <w:p w14:paraId="339CF387"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13" w:name="OLE_LINK129"/>
            <w:r w:rsidRPr="00124038">
              <w:rPr>
                <w:rFonts w:ascii="Times New Roman" w:eastAsia="Calibri" w:hAnsi="Times New Roman" w:cs="Times New Roman"/>
                <w:sz w:val="20"/>
                <w:szCs w:val="20"/>
              </w:rPr>
              <w:t>копии учредительных документов, заверенные уполномоченным лицом и печатью общества (юридического лица);</w:t>
            </w:r>
            <w:bookmarkEnd w:id="13"/>
          </w:p>
          <w:p w14:paraId="27375F08"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14" w:name="OLE_LINK130"/>
            <w:r w:rsidRPr="00124038">
              <w:rPr>
                <w:rFonts w:ascii="Times New Roman" w:eastAsia="Calibri" w:hAnsi="Times New Roman" w:cs="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 - копии паспортов (для физических лиц);</w:t>
            </w:r>
            <w:bookmarkEnd w:id="14"/>
          </w:p>
          <w:p w14:paraId="12457958" w14:textId="77777777" w:rsid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15" w:name="OLE_LINK132"/>
            <w:bookmarkStart w:id="16" w:name="OLE_LINK131"/>
            <w:r w:rsidRPr="00124038">
              <w:rPr>
                <w:rFonts w:ascii="Times New Roman" w:eastAsia="Calibri" w:hAnsi="Times New Roman" w:cs="Times New Roman"/>
                <w:sz w:val="20"/>
                <w:szCs w:val="20"/>
              </w:rPr>
              <w:t xml:space="preserve">- </w:t>
            </w:r>
            <w:bookmarkStart w:id="17" w:name="OLE_LINK133"/>
            <w:r w:rsidRPr="00124038">
              <w:rPr>
                <w:rFonts w:ascii="Times New Roman" w:eastAsia="Calibri" w:hAnsi="Times New Roman" w:cs="Times New Roman"/>
                <w:sz w:val="20"/>
                <w:szCs w:val="20"/>
              </w:rPr>
              <w:t>доверенность лица, уполномоченного действовать от имени Заявителя при подаче Заявки на участие в торговой процедуре;</w:t>
            </w:r>
            <w:bookmarkEnd w:id="17"/>
          </w:p>
          <w:p w14:paraId="264DBFAF" w14:textId="4CE4C97C"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согласие на обработку ПД (приложение 3 к Торговой документации);</w:t>
            </w:r>
          </w:p>
          <w:p w14:paraId="0E4CEABB"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18" w:name="OLE_LINK134"/>
            <w:r w:rsidRPr="00124038">
              <w:rPr>
                <w:rFonts w:ascii="Times New Roman" w:eastAsia="Calibri" w:hAnsi="Times New Roman" w:cs="Times New Roman"/>
                <w:sz w:val="20"/>
                <w:szCs w:val="20"/>
              </w:rPr>
              <w:t xml:space="preserve">- опись документов; </w:t>
            </w:r>
            <w:bookmarkStart w:id="19" w:name="OLE_LINK137"/>
            <w:bookmarkStart w:id="20" w:name="OLE_LINK136"/>
            <w:bookmarkStart w:id="21" w:name="OLE_LINK135"/>
            <w:bookmarkEnd w:id="18"/>
            <w:r w:rsidRPr="00124038">
              <w:rPr>
                <w:rFonts w:ascii="Times New Roman" w:eastAsia="Calibri" w:hAnsi="Times New Roman" w:cs="Times New Roman"/>
                <w:sz w:val="20"/>
                <w:szCs w:val="20"/>
              </w:rPr>
              <w:t xml:space="preserve">необходимые документы, в том числе: </w:t>
            </w:r>
            <w:bookmarkEnd w:id="15"/>
            <w:bookmarkEnd w:id="16"/>
            <w:bookmarkEnd w:id="19"/>
            <w:bookmarkEnd w:id="20"/>
            <w:bookmarkEnd w:id="21"/>
          </w:p>
          <w:p w14:paraId="37D5BF88"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2" w:name="OLE_LINK138"/>
            <w:r w:rsidRPr="00124038">
              <w:rPr>
                <w:rFonts w:ascii="Times New Roman" w:eastAsia="Calibri" w:hAnsi="Times New Roman" w:cs="Times New Roman"/>
                <w:sz w:val="20"/>
                <w:szCs w:val="20"/>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2"/>
            <w:r w:rsidRPr="00124038">
              <w:rPr>
                <w:rFonts w:ascii="Times New Roman" w:eastAsia="Calibri" w:hAnsi="Times New Roman" w:cs="Times New Roman"/>
                <w:sz w:val="20"/>
                <w:szCs w:val="20"/>
              </w:rPr>
              <w:t>.</w:t>
            </w:r>
          </w:p>
          <w:p w14:paraId="1E2195B5"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3" w:name="OLE_LINK139"/>
            <w:r w:rsidRPr="00124038">
              <w:rPr>
                <w:rFonts w:ascii="Times New Roman" w:eastAsia="Calibri" w:hAnsi="Times New Roman" w:cs="Times New Roman"/>
                <w:sz w:val="20"/>
                <w:szCs w:val="20"/>
              </w:rPr>
              <w:t>документы, подтверждающие отсутствие информации о незавершенной реорганизации и процедуре ликвидации Заявителя.</w:t>
            </w:r>
            <w:bookmarkEnd w:id="23"/>
          </w:p>
          <w:p w14:paraId="0978F74E"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4" w:name="OLE_LINK141"/>
            <w:bookmarkStart w:id="25" w:name="OLE_LINK140"/>
            <w:r w:rsidRPr="00124038">
              <w:rPr>
                <w:rFonts w:ascii="Times New Roman" w:eastAsia="Calibri" w:hAnsi="Times New Roman" w:cs="Times New Roman"/>
                <w:sz w:val="20"/>
                <w:szCs w:val="20"/>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4"/>
            <w:bookmarkEnd w:id="25"/>
          </w:p>
          <w:p w14:paraId="00B427CF"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6" w:name="OLE_LINK143"/>
            <w:bookmarkStart w:id="27" w:name="OLE_LINK142"/>
            <w:r w:rsidRPr="00124038">
              <w:rPr>
                <w:rFonts w:ascii="Times New Roman" w:eastAsia="Calibri" w:hAnsi="Times New Roman" w:cs="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6"/>
            <w:bookmarkEnd w:id="27"/>
          </w:p>
          <w:p w14:paraId="1A67D3B8"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8" w:name="OLE_LINK144"/>
            <w:r w:rsidRPr="00124038">
              <w:rPr>
                <w:rFonts w:ascii="Times New Roman" w:eastAsia="Calibri" w:hAnsi="Times New Roman" w:cs="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8"/>
          </w:p>
          <w:p w14:paraId="1C31F112"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29" w:name="OLE_LINK147"/>
            <w:bookmarkStart w:id="30" w:name="OLE_LINK146"/>
            <w:bookmarkStart w:id="31" w:name="OLE_LINK145"/>
            <w:r w:rsidRPr="00124038">
              <w:rPr>
                <w:rFonts w:ascii="Times New Roman" w:eastAsia="Calibri" w:hAnsi="Times New Roman" w:cs="Times New Roman"/>
                <w:sz w:val="20"/>
                <w:szCs w:val="20"/>
              </w:rPr>
              <w:t>документы, подтверждающих финансовое положение Заявителя (оценивается не хуже, чем «среднее»);</w:t>
            </w:r>
            <w:bookmarkEnd w:id="29"/>
            <w:bookmarkEnd w:id="30"/>
            <w:bookmarkEnd w:id="31"/>
          </w:p>
          <w:p w14:paraId="42F9F97F"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w:t>
            </w:r>
            <w:bookmarkStart w:id="32" w:name="OLE_LINK149"/>
            <w:bookmarkStart w:id="33" w:name="OLE_LINK148"/>
            <w:r w:rsidRPr="00124038">
              <w:rPr>
                <w:rFonts w:ascii="Times New Roman" w:eastAsia="Calibri" w:hAnsi="Times New Roman" w:cs="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32"/>
            <w:bookmarkEnd w:id="33"/>
          </w:p>
          <w:p w14:paraId="0AE556F1"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34" w:name="OLE_LINK150"/>
            <w:r w:rsidRPr="00124038">
              <w:rPr>
                <w:rFonts w:ascii="Times New Roman" w:eastAsia="Calibri" w:hAnsi="Times New Roman" w:cs="Times New Roman"/>
                <w:sz w:val="20"/>
                <w:szCs w:val="20"/>
              </w:rPr>
              <w:t>- Надлежащим образом заверенные копии следующих документов:</w:t>
            </w:r>
            <w:bookmarkEnd w:id="34"/>
          </w:p>
          <w:p w14:paraId="1B451699"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bookmarkStart w:id="35" w:name="OLE_LINK152"/>
            <w:bookmarkStart w:id="36" w:name="OLE_LINK151"/>
            <w:r w:rsidRPr="00124038">
              <w:rPr>
                <w:rFonts w:ascii="Times New Roman" w:eastAsia="Calibri" w:hAnsi="Times New Roman" w:cs="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480A427"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w:t>
            </w:r>
          </w:p>
          <w:p w14:paraId="16264B54"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p>
          <w:p w14:paraId="5624A337"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124038">
              <w:rPr>
                <w:rFonts w:ascii="Times New Roman" w:eastAsia="Calibri" w:hAnsi="Times New Roman" w:cs="Times New Roman"/>
                <w:sz w:val="20"/>
                <w:szCs w:val="20"/>
              </w:rPr>
              <w:t>позднее</w:t>
            </w:r>
            <w:proofErr w:type="gramEnd"/>
            <w:r w:rsidRPr="00124038">
              <w:rPr>
                <w:rFonts w:ascii="Times New Roman" w:eastAsia="Calibri" w:hAnsi="Times New Roman" w:cs="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56965CAE"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Гарантийные письма, подписанные единоличным исполнительным органом, подтверждающие, следующее:</w:t>
            </w:r>
          </w:p>
          <w:p w14:paraId="616E6809"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399FF87"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отсутствие по месту регистрации Заявителя исков о взыскании, заявлений имущественного характера;</w:t>
            </w:r>
          </w:p>
          <w:p w14:paraId="25ECCB37"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083CC969"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6"/>
            <w:bookmarkEnd w:id="7"/>
            <w:r w:rsidRPr="00124038">
              <w:rPr>
                <w:rFonts w:ascii="Times New Roman" w:eastAsia="Calibri" w:hAnsi="Times New Roman" w:cs="Times New Roman"/>
                <w:sz w:val="20"/>
                <w:szCs w:val="20"/>
              </w:rPr>
              <w:t>.</w:t>
            </w:r>
            <w:bookmarkEnd w:id="8"/>
            <w:bookmarkEnd w:id="9"/>
            <w:bookmarkEnd w:id="10"/>
            <w:bookmarkEnd w:id="35"/>
            <w:bookmarkEnd w:id="36"/>
          </w:p>
          <w:p w14:paraId="1F077F1D"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p>
        </w:tc>
      </w:tr>
      <w:tr w:rsidR="00124038" w:rsidRPr="00124038" w14:paraId="6D546AB8"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1FEB6969"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Условия доступа к торгам (Требования к Претенденту)</w:t>
            </w:r>
          </w:p>
        </w:tc>
        <w:tc>
          <w:tcPr>
            <w:tcW w:w="7398" w:type="dxa"/>
            <w:tcBorders>
              <w:top w:val="single" w:sz="4" w:space="0" w:color="auto"/>
              <w:left w:val="single" w:sz="4" w:space="0" w:color="auto"/>
              <w:bottom w:val="single" w:sz="4" w:space="0" w:color="auto"/>
              <w:right w:val="single" w:sz="4" w:space="0" w:color="auto"/>
            </w:tcBorders>
            <w:hideMark/>
          </w:tcPr>
          <w:p w14:paraId="2537972B"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1. В отношении Нового кредитора - юридического лица:</w:t>
            </w:r>
          </w:p>
          <w:p w14:paraId="60AF2509"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1.1. </w:t>
            </w:r>
            <w:proofErr w:type="gramStart"/>
            <w:r w:rsidRPr="00124038">
              <w:rPr>
                <w:rFonts w:ascii="Times New Roman" w:eastAsia="Times New Roman" w:hAnsi="Times New Roman" w:cs="Times New Roman"/>
                <w:sz w:val="20"/>
                <w:szCs w:val="20"/>
              </w:rPr>
              <w:t>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roofErr w:type="gramEnd"/>
          </w:p>
          <w:p w14:paraId="3A2CB0FF"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п.2.5. настоящего решения.</w:t>
            </w:r>
          </w:p>
          <w:p w14:paraId="5F8F0199"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0C3D380E"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239C330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3A5E410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2. В отношении Нового кредитора - физического лица:</w:t>
            </w:r>
          </w:p>
          <w:p w14:paraId="4CF166D5"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6402E98B"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возбужденных исполнительных производств;</w:t>
            </w:r>
          </w:p>
          <w:p w14:paraId="5EC6767A"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7EBBFF42"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0D3C781F"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63D8FB8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 отсутствия иных </w:t>
            </w:r>
            <w:proofErr w:type="spellStart"/>
            <w:r w:rsidRPr="00124038">
              <w:rPr>
                <w:rFonts w:ascii="Times New Roman" w:eastAsia="Times New Roman" w:hAnsi="Times New Roman" w:cs="Times New Roman"/>
                <w:sz w:val="20"/>
                <w:szCs w:val="20"/>
              </w:rPr>
              <w:t>правопритязаний</w:t>
            </w:r>
            <w:proofErr w:type="spellEnd"/>
            <w:r w:rsidRPr="00124038">
              <w:rPr>
                <w:rFonts w:ascii="Times New Roman" w:eastAsia="Times New Roman" w:hAnsi="Times New Roman" w:cs="Times New Roman"/>
                <w:sz w:val="20"/>
                <w:szCs w:val="20"/>
              </w:rPr>
              <w:t xml:space="preserve"> третьих лиц к Новому кредитору;</w:t>
            </w:r>
          </w:p>
          <w:p w14:paraId="163641B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A83AA8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6831B47D"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55E60922"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3. Общие требования:</w:t>
            </w:r>
          </w:p>
          <w:p w14:paraId="74F94280"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3.1. Отсутствие у Нового кредитора ссудной задолженности перед Кредитором.</w:t>
            </w:r>
          </w:p>
          <w:p w14:paraId="197930F2"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3.2. Отсутствие в отношении Нового кредитора/ лица, предоставляющего </w:t>
            </w:r>
            <w:proofErr w:type="spellStart"/>
            <w:r w:rsidRPr="00124038">
              <w:rPr>
                <w:rFonts w:ascii="Times New Roman" w:eastAsia="Times New Roman" w:hAnsi="Times New Roman" w:cs="Times New Roman"/>
                <w:sz w:val="20"/>
                <w:szCs w:val="20"/>
              </w:rPr>
              <w:t>зай</w:t>
            </w:r>
            <w:proofErr w:type="gramStart"/>
            <w:r w:rsidRPr="00124038">
              <w:rPr>
                <w:rFonts w:ascii="Times New Roman" w:eastAsia="Times New Roman" w:hAnsi="Times New Roman" w:cs="Times New Roman"/>
                <w:sz w:val="20"/>
                <w:szCs w:val="20"/>
              </w:rPr>
              <w:t>м</w:t>
            </w:r>
            <w:proofErr w:type="spellEnd"/>
            <w:r w:rsidRPr="00124038">
              <w:rPr>
                <w:rFonts w:ascii="Times New Roman" w:eastAsia="Times New Roman" w:hAnsi="Times New Roman" w:cs="Times New Roman"/>
                <w:sz w:val="20"/>
                <w:szCs w:val="20"/>
              </w:rPr>
              <w:t>(</w:t>
            </w:r>
            <w:proofErr w:type="gramEnd"/>
            <w:r w:rsidRPr="00124038">
              <w:rPr>
                <w:rFonts w:ascii="Times New Roman" w:eastAsia="Times New Roman" w:hAnsi="Times New Roman" w:cs="Times New Roman"/>
                <w:sz w:val="20"/>
                <w:szCs w:val="20"/>
              </w:rPr>
              <w:t>-ы) Новому кредитору:</w:t>
            </w:r>
          </w:p>
          <w:p w14:paraId="595784E9"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негативной информации;</w:t>
            </w:r>
          </w:p>
          <w:p w14:paraId="0D92C60D"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 данных об </w:t>
            </w:r>
            <w:proofErr w:type="spellStart"/>
            <w:r w:rsidRPr="00124038">
              <w:rPr>
                <w:rFonts w:ascii="Times New Roman" w:eastAsia="Times New Roman" w:hAnsi="Times New Roman" w:cs="Times New Roman"/>
                <w:sz w:val="20"/>
                <w:szCs w:val="20"/>
              </w:rPr>
              <w:t>аффилированности</w:t>
            </w:r>
            <w:proofErr w:type="spellEnd"/>
            <w:r w:rsidRPr="00124038">
              <w:rPr>
                <w:rFonts w:ascii="Times New Roman" w:eastAsia="Times New Roman" w:hAnsi="Times New Roman" w:cs="Times New Roman"/>
                <w:sz w:val="20"/>
                <w:szCs w:val="20"/>
              </w:rPr>
              <w:t xml:space="preserve"> Нового кредитора/ лица, предоставляющего Новому кредитору </w:t>
            </w:r>
            <w:proofErr w:type="spellStart"/>
            <w:r w:rsidRPr="00124038">
              <w:rPr>
                <w:rFonts w:ascii="Times New Roman" w:eastAsia="Times New Roman" w:hAnsi="Times New Roman" w:cs="Times New Roman"/>
                <w:sz w:val="20"/>
                <w:szCs w:val="20"/>
              </w:rPr>
              <w:t>зай</w:t>
            </w:r>
            <w:proofErr w:type="gramStart"/>
            <w:r w:rsidRPr="00124038">
              <w:rPr>
                <w:rFonts w:ascii="Times New Roman" w:eastAsia="Times New Roman" w:hAnsi="Times New Roman" w:cs="Times New Roman"/>
                <w:sz w:val="20"/>
                <w:szCs w:val="20"/>
              </w:rPr>
              <w:t>м</w:t>
            </w:r>
            <w:proofErr w:type="spellEnd"/>
            <w:r w:rsidRPr="00124038">
              <w:rPr>
                <w:rFonts w:ascii="Times New Roman" w:eastAsia="Times New Roman" w:hAnsi="Times New Roman" w:cs="Times New Roman"/>
                <w:sz w:val="20"/>
                <w:szCs w:val="20"/>
              </w:rPr>
              <w:t>(</w:t>
            </w:r>
            <w:proofErr w:type="gramEnd"/>
            <w:r w:rsidRPr="00124038">
              <w:rPr>
                <w:rFonts w:ascii="Times New Roman" w:eastAsia="Times New Roman" w:hAnsi="Times New Roman" w:cs="Times New Roman"/>
                <w:sz w:val="20"/>
                <w:szCs w:val="20"/>
              </w:rPr>
              <w:t>-ы), к Должникам, Кредитору.</w:t>
            </w:r>
          </w:p>
          <w:p w14:paraId="52C4874F"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Подтверждается службой безопасности Филиала.</w:t>
            </w:r>
          </w:p>
          <w:p w14:paraId="5887D071" w14:textId="77777777" w:rsidR="00124038" w:rsidRPr="00124038" w:rsidRDefault="00124038" w:rsidP="00124038">
            <w:pPr>
              <w:widowControl w:val="0"/>
              <w:spacing w:after="0" w:line="256" w:lineRule="auto"/>
              <w:ind w:firstLine="33"/>
              <w:jc w:val="both"/>
              <w:rPr>
                <w:rFonts w:ascii="Times New Roman" w:eastAsia="Calibri" w:hAnsi="Times New Roman" w:cs="Times New Roman"/>
                <w:sz w:val="20"/>
                <w:szCs w:val="20"/>
              </w:rPr>
            </w:pPr>
            <w:r w:rsidRPr="00124038">
              <w:rPr>
                <w:rFonts w:ascii="Times New Roman" w:eastAsia="Times New Roman" w:hAnsi="Times New Roman" w:cs="Times New Roman"/>
                <w:sz w:val="20"/>
                <w:szCs w:val="20"/>
              </w:rPr>
              <w:t>3.3. Отсутствие в числе аффилированных Новому кредитору лиц заемщиков Кредитора.</w:t>
            </w:r>
          </w:p>
        </w:tc>
      </w:tr>
      <w:tr w:rsidR="00124038" w:rsidRPr="00124038" w14:paraId="6E7E6E69"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5A8F15B8"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Условия доступа Заявителя к участию в торговой процедуре</w:t>
            </w:r>
          </w:p>
        </w:tc>
        <w:tc>
          <w:tcPr>
            <w:tcW w:w="7398" w:type="dxa"/>
            <w:tcBorders>
              <w:top w:val="single" w:sz="4" w:space="0" w:color="auto"/>
              <w:left w:val="single" w:sz="4" w:space="0" w:color="auto"/>
              <w:bottom w:val="single" w:sz="4" w:space="0" w:color="auto"/>
              <w:right w:val="single" w:sz="4" w:space="0" w:color="auto"/>
            </w:tcBorders>
            <w:hideMark/>
          </w:tcPr>
          <w:p w14:paraId="3E411DDE"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6323A84F"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69FCD6A8"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-Заявка </w:t>
            </w:r>
            <w:proofErr w:type="gramStart"/>
            <w:r w:rsidRPr="00124038">
              <w:rPr>
                <w:rFonts w:ascii="Times New Roman" w:eastAsia="Times New Roman" w:hAnsi="Times New Roman" w:cs="Times New Roman"/>
                <w:sz w:val="20"/>
                <w:szCs w:val="20"/>
              </w:rPr>
              <w:t>на участие в Торговой процедуре подана по истечении срока приема заявок на участие в торгах</w:t>
            </w:r>
            <w:proofErr w:type="gramEnd"/>
            <w:r w:rsidRPr="00124038">
              <w:rPr>
                <w:rFonts w:ascii="Times New Roman" w:eastAsia="Times New Roman" w:hAnsi="Times New Roman" w:cs="Times New Roman"/>
                <w:sz w:val="20"/>
                <w:szCs w:val="20"/>
              </w:rPr>
              <w:t>, указанного в Извещении;</w:t>
            </w:r>
          </w:p>
          <w:p w14:paraId="23C3E3D1"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2D079B46"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-не представлены документы, перечисленные в Извещении;</w:t>
            </w:r>
          </w:p>
          <w:p w14:paraId="17DC97CF"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4B8AFB4"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3C393527"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79B8EBD0"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463B71D0"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sidRPr="00124038">
              <w:rPr>
                <w:rFonts w:ascii="Times New Roman" w:eastAsia="Times New Roman" w:hAnsi="Times New Roman" w:cs="Times New Roman"/>
                <w:sz w:val="20"/>
                <w:szCs w:val="20"/>
              </w:rPr>
              <w:t>займ</w:t>
            </w:r>
            <w:proofErr w:type="spellEnd"/>
            <w:proofErr w:type="gramStart"/>
            <w:r w:rsidRPr="00124038">
              <w:rPr>
                <w:rFonts w:ascii="Times New Roman" w:eastAsia="Times New Roman" w:hAnsi="Times New Roman" w:cs="Times New Roman"/>
                <w:sz w:val="20"/>
                <w:szCs w:val="20"/>
              </w:rPr>
              <w:t xml:space="preserve"> (-</w:t>
            </w:r>
            <w:proofErr w:type="gramEnd"/>
            <w:r w:rsidRPr="00124038">
              <w:rPr>
                <w:rFonts w:ascii="Times New Roman" w:eastAsia="Times New Roman" w:hAnsi="Times New Roman" w:cs="Times New Roman"/>
                <w:sz w:val="20"/>
                <w:szCs w:val="20"/>
              </w:rPr>
              <w:t>ы) Заявителю;</w:t>
            </w:r>
          </w:p>
          <w:p w14:paraId="718A1E16"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-выявление признаков </w:t>
            </w:r>
            <w:proofErr w:type="spellStart"/>
            <w:r w:rsidRPr="00124038">
              <w:rPr>
                <w:rFonts w:ascii="Times New Roman" w:eastAsia="Times New Roman" w:hAnsi="Times New Roman" w:cs="Times New Roman"/>
                <w:sz w:val="20"/>
                <w:szCs w:val="20"/>
              </w:rPr>
              <w:t>аффилированности</w:t>
            </w:r>
            <w:proofErr w:type="spellEnd"/>
            <w:r w:rsidRPr="00124038">
              <w:rPr>
                <w:rFonts w:ascii="Times New Roman" w:eastAsia="Times New Roman" w:hAnsi="Times New Roman" w:cs="Times New Roman"/>
                <w:sz w:val="20"/>
                <w:szCs w:val="20"/>
              </w:rPr>
              <w:t xml:space="preserve"> Заявителя/ лица, предоставляющего </w:t>
            </w:r>
            <w:proofErr w:type="spellStart"/>
            <w:r w:rsidRPr="00124038">
              <w:rPr>
                <w:rFonts w:ascii="Times New Roman" w:eastAsia="Times New Roman" w:hAnsi="Times New Roman" w:cs="Times New Roman"/>
                <w:sz w:val="20"/>
                <w:szCs w:val="20"/>
              </w:rPr>
              <w:t>займ</w:t>
            </w:r>
            <w:proofErr w:type="spellEnd"/>
            <w:proofErr w:type="gramStart"/>
            <w:r w:rsidRPr="00124038">
              <w:rPr>
                <w:rFonts w:ascii="Times New Roman" w:eastAsia="Times New Roman" w:hAnsi="Times New Roman" w:cs="Times New Roman"/>
                <w:sz w:val="20"/>
                <w:szCs w:val="20"/>
              </w:rPr>
              <w:t xml:space="preserve"> (-</w:t>
            </w:r>
            <w:proofErr w:type="gramEnd"/>
            <w:r w:rsidRPr="00124038">
              <w:rPr>
                <w:rFonts w:ascii="Times New Roman" w:eastAsia="Times New Roman" w:hAnsi="Times New Roman" w:cs="Times New Roman"/>
                <w:sz w:val="20"/>
                <w:szCs w:val="20"/>
              </w:rPr>
              <w:t>ы) Заявителя к Банку, Должникам;</w:t>
            </w:r>
          </w:p>
          <w:p w14:paraId="5AB136EA"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-выявление в числе аффилированных Заявителю лиц-заемщиков Кредитора;</w:t>
            </w:r>
          </w:p>
          <w:p w14:paraId="5B9491D6"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6DABAEFB"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E64D721"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D9E083F"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информации о незавершенной реорганизации и процедуре ликвидации Заявителя.</w:t>
            </w:r>
          </w:p>
          <w:p w14:paraId="22AF2B16"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3514A86F"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48E8210"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1A20948E"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6EEFBF0F"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-выявления в отношении Заявителя – физического лица иных </w:t>
            </w:r>
            <w:proofErr w:type="spellStart"/>
            <w:r w:rsidRPr="00124038">
              <w:rPr>
                <w:rFonts w:ascii="Times New Roman" w:eastAsia="Times New Roman" w:hAnsi="Times New Roman" w:cs="Times New Roman"/>
                <w:sz w:val="20"/>
                <w:szCs w:val="20"/>
              </w:rPr>
              <w:t>правопритязаний</w:t>
            </w:r>
            <w:proofErr w:type="spellEnd"/>
            <w:r w:rsidRPr="00124038">
              <w:rPr>
                <w:rFonts w:ascii="Times New Roman" w:eastAsia="Times New Roman" w:hAnsi="Times New Roman" w:cs="Times New Roman"/>
                <w:sz w:val="20"/>
                <w:szCs w:val="20"/>
              </w:rPr>
              <w:t xml:space="preserve"> третьих лиц к Заявителю;</w:t>
            </w:r>
          </w:p>
          <w:p w14:paraId="7E819A7B"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D106096"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085636BC"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124038" w:rsidRPr="00124038" w14:paraId="056D9A99"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035EA11E"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 xml:space="preserve">Критерии определения Победителя торговой процедуры в форме аукциона </w:t>
            </w:r>
            <w:r w:rsidRPr="00124038">
              <w:rPr>
                <w:rFonts w:ascii="Times New Roman" w:eastAsia="Calibri" w:hAnsi="Times New Roman" w:cs="Times New Roman"/>
                <w:b/>
                <w:sz w:val="20"/>
                <w:szCs w:val="20"/>
              </w:rPr>
              <w:t>«на повышение»</w:t>
            </w:r>
          </w:p>
        </w:tc>
        <w:tc>
          <w:tcPr>
            <w:tcW w:w="7398" w:type="dxa"/>
            <w:tcBorders>
              <w:top w:val="single" w:sz="4" w:space="0" w:color="auto"/>
              <w:left w:val="single" w:sz="4" w:space="0" w:color="auto"/>
              <w:bottom w:val="single" w:sz="4" w:space="0" w:color="auto"/>
              <w:right w:val="single" w:sz="4" w:space="0" w:color="auto"/>
            </w:tcBorders>
            <w:hideMark/>
          </w:tcPr>
          <w:p w14:paraId="6057AFD2" w14:textId="77777777" w:rsidR="00124038" w:rsidRPr="00124038" w:rsidRDefault="00124038" w:rsidP="00124038">
            <w:pPr>
              <w:tabs>
                <w:tab w:val="left" w:pos="426"/>
                <w:tab w:val="left" w:pos="1560"/>
              </w:tabs>
              <w:suppressAutoHyphens/>
              <w:autoSpaceDE w:val="0"/>
              <w:autoSpaceDN w:val="0"/>
              <w:adjustRightInd w:val="0"/>
              <w:spacing w:after="0" w:line="256" w:lineRule="auto"/>
              <w:contextualSpacing/>
              <w:jc w:val="both"/>
              <w:outlineLvl w:val="1"/>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Победителем признается участник аукциона, предложивший наиболее высокую цену за права (требования) Банка.</w:t>
            </w:r>
          </w:p>
          <w:p w14:paraId="1F0106C6"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Calibri" w:hAnsi="Times New Roman" w:cs="Times New Roman"/>
                <w:bCs/>
                <w:sz w:val="20"/>
                <w:szCs w:val="20"/>
              </w:rPr>
              <w:t>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r w:rsidRPr="00124038">
              <w:rPr>
                <w:rFonts w:ascii="Times New Roman" w:eastAsia="Calibri" w:hAnsi="Times New Roman" w:cs="Times New Roman"/>
                <w:bCs/>
                <w:sz w:val="20"/>
                <w:szCs w:val="20"/>
              </w:rPr>
              <w:tab/>
            </w:r>
          </w:p>
        </w:tc>
      </w:tr>
      <w:tr w:rsidR="00124038" w:rsidRPr="00124038" w14:paraId="2BB67296"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58D089B1"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Порядок заключения договора реализации прав (требований)</w:t>
            </w:r>
          </w:p>
        </w:tc>
        <w:tc>
          <w:tcPr>
            <w:tcW w:w="7398" w:type="dxa"/>
            <w:tcBorders>
              <w:top w:val="single" w:sz="4" w:space="0" w:color="auto"/>
              <w:left w:val="single" w:sz="4" w:space="0" w:color="auto"/>
              <w:bottom w:val="single" w:sz="4" w:space="0" w:color="auto"/>
              <w:right w:val="single" w:sz="4" w:space="0" w:color="auto"/>
            </w:tcBorders>
            <w:hideMark/>
          </w:tcPr>
          <w:p w14:paraId="533F2849"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Заключение договора реализации между Банком и Победителем открытого аукциона </w:t>
            </w:r>
            <w:proofErr w:type="gramStart"/>
            <w:r w:rsidRPr="00124038">
              <w:rPr>
                <w:rFonts w:ascii="Times New Roman" w:eastAsia="Times New Roman" w:hAnsi="Times New Roman" w:cs="Times New Roman"/>
                <w:sz w:val="20"/>
                <w:szCs w:val="20"/>
              </w:rPr>
              <w:t>по составу участников с открытой формой подачи предложения о цене с применением метода повышения цены в электронной форме</w:t>
            </w:r>
            <w:proofErr w:type="gramEnd"/>
            <w:r w:rsidRPr="00124038">
              <w:rPr>
                <w:rFonts w:ascii="Times New Roman" w:eastAsia="Times New Roman" w:hAnsi="Times New Roman" w:cs="Times New Roman"/>
                <w:sz w:val="20"/>
                <w:szCs w:val="20"/>
              </w:rPr>
              <w:t xml:space="preserve">, осуществляется не позднее 8 (Восьми) рабочих дней со дня подписания протокола об итогах торгов. </w:t>
            </w:r>
          </w:p>
          <w:p w14:paraId="38F96252"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 случае признания открытого аукциона по составу участников с открытой формой подачи предложения о цене с применением метода повышения цены в электронной форме не состоявшимся, договор реализации </w:t>
            </w:r>
            <w:proofErr w:type="gramStart"/>
            <w:r w:rsidRPr="00124038">
              <w:rPr>
                <w:rFonts w:ascii="Times New Roman" w:eastAsia="Times New Roman" w:hAnsi="Times New Roman" w:cs="Times New Roman"/>
                <w:sz w:val="20"/>
                <w:szCs w:val="20"/>
              </w:rPr>
              <w:t>заключается</w:t>
            </w:r>
            <w:proofErr w:type="gramEnd"/>
            <w:r w:rsidRPr="00124038">
              <w:rPr>
                <w:rFonts w:ascii="Times New Roman" w:eastAsia="Times New Roman" w:hAnsi="Times New Roman" w:cs="Times New Roman"/>
                <w:sz w:val="20"/>
                <w:szCs w:val="20"/>
              </w:rPr>
              <w:t xml:space="preserve"> может быть заключен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
          <w:p w14:paraId="523DA98C" w14:textId="77777777" w:rsidR="00124038" w:rsidRPr="00124038" w:rsidRDefault="00124038" w:rsidP="00124038">
            <w:pPr>
              <w:autoSpaceDE w:val="0"/>
              <w:autoSpaceDN w:val="0"/>
              <w:adjustRightInd w:val="0"/>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Если Победитель Торговой процедуры в установленный срок не подпишет Договор реализации, Банк имеет право в дальнейшем отказать ему в заключени</w:t>
            </w:r>
            <w:proofErr w:type="gramStart"/>
            <w:r w:rsidRPr="00124038">
              <w:rPr>
                <w:rFonts w:ascii="Times New Roman" w:eastAsia="Times New Roman" w:hAnsi="Times New Roman" w:cs="Times New Roman"/>
                <w:sz w:val="20"/>
                <w:szCs w:val="20"/>
              </w:rPr>
              <w:t>и</w:t>
            </w:r>
            <w:proofErr w:type="gramEnd"/>
            <w:r w:rsidRPr="00124038">
              <w:rPr>
                <w:rFonts w:ascii="Times New Roman" w:eastAsia="Times New Roman" w:hAnsi="Times New Roman" w:cs="Times New Roman"/>
                <w:sz w:val="20"/>
                <w:szCs w:val="20"/>
              </w:rPr>
              <w:t xml:space="preserve"> Договора реализации либо обратиться в суд с требованием о понуждении заключить Договор реализации, а также о возмещении убытков, причиненных уклонением от его заключения. </w:t>
            </w:r>
          </w:p>
          <w:p w14:paraId="229E3DD2"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Times New Roman" w:hAnsi="Times New Roman" w:cs="Times New Roman"/>
                <w:sz w:val="20"/>
                <w:szCs w:val="20"/>
              </w:rPr>
              <w:t xml:space="preserve">В случае </w:t>
            </w:r>
            <w:proofErr w:type="spellStart"/>
            <w:r w:rsidRPr="00124038">
              <w:rPr>
                <w:rFonts w:ascii="Times New Roman" w:eastAsia="Times New Roman" w:hAnsi="Times New Roman" w:cs="Times New Roman"/>
                <w:sz w:val="20"/>
                <w:szCs w:val="20"/>
              </w:rPr>
              <w:t>незаключения</w:t>
            </w:r>
            <w:proofErr w:type="spellEnd"/>
            <w:r w:rsidRPr="00124038">
              <w:rPr>
                <w:rFonts w:ascii="Times New Roman" w:eastAsia="Times New Roman" w:hAnsi="Times New Roman" w:cs="Times New Roman"/>
                <w:sz w:val="20"/>
                <w:szCs w:val="20"/>
              </w:rPr>
              <w:t>/расторжения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w:t>
            </w:r>
          </w:p>
        </w:tc>
      </w:tr>
      <w:tr w:rsidR="00124038" w:rsidRPr="00124038" w14:paraId="5126B421" w14:textId="77777777" w:rsidTr="00124038">
        <w:trPr>
          <w:trHeight w:val="684"/>
        </w:trPr>
        <w:tc>
          <w:tcPr>
            <w:tcW w:w="2554" w:type="dxa"/>
            <w:tcBorders>
              <w:top w:val="single" w:sz="4" w:space="0" w:color="auto"/>
              <w:left w:val="single" w:sz="4" w:space="0" w:color="auto"/>
              <w:bottom w:val="single" w:sz="4" w:space="0" w:color="auto"/>
              <w:right w:val="single" w:sz="4" w:space="0" w:color="auto"/>
            </w:tcBorders>
            <w:hideMark/>
          </w:tcPr>
          <w:p w14:paraId="1156C168" w14:textId="77777777" w:rsidR="00124038" w:rsidRPr="00124038" w:rsidRDefault="00124038" w:rsidP="00124038">
            <w:pPr>
              <w:autoSpaceDE w:val="0"/>
              <w:autoSpaceDN w:val="0"/>
              <w:adjustRightInd w:val="0"/>
              <w:spacing w:after="0" w:line="256" w:lineRule="auto"/>
              <w:jc w:val="both"/>
              <w:rPr>
                <w:rFonts w:ascii="Times New Roman" w:eastAsia="Calibri" w:hAnsi="Times New Roman" w:cs="Times New Roman"/>
                <w:sz w:val="20"/>
                <w:szCs w:val="20"/>
              </w:rPr>
            </w:pPr>
            <w:r w:rsidRPr="00124038">
              <w:rPr>
                <w:rFonts w:ascii="Times New Roman" w:eastAsia="Calibri" w:hAnsi="Times New Roman" w:cs="Times New Roman"/>
                <w:sz w:val="20"/>
                <w:szCs w:val="20"/>
              </w:rPr>
              <w:t>Состав Комиссии Принципала по проведению Торговых процедур</w:t>
            </w:r>
          </w:p>
        </w:tc>
        <w:tc>
          <w:tcPr>
            <w:tcW w:w="7398" w:type="dxa"/>
            <w:tcBorders>
              <w:top w:val="single" w:sz="4" w:space="0" w:color="auto"/>
              <w:left w:val="single" w:sz="4" w:space="0" w:color="auto"/>
              <w:bottom w:val="single" w:sz="4" w:space="0" w:color="auto"/>
              <w:right w:val="single" w:sz="4" w:space="0" w:color="auto"/>
            </w:tcBorders>
            <w:hideMark/>
          </w:tcPr>
          <w:p w14:paraId="48466F40" w14:textId="77777777" w:rsidR="00124038" w:rsidRPr="00124038" w:rsidRDefault="00124038" w:rsidP="00124038">
            <w:pPr>
              <w:tabs>
                <w:tab w:val="left" w:pos="272"/>
              </w:tabs>
              <w:spacing w:after="0" w:line="256" w:lineRule="auto"/>
              <w:jc w:val="both"/>
              <w:rPr>
                <w:rFonts w:ascii="Times New Roman" w:eastAsia="Times New Roman" w:hAnsi="Times New Roman" w:cs="Times New Roman"/>
                <w:sz w:val="20"/>
                <w:szCs w:val="20"/>
              </w:rPr>
            </w:pPr>
            <w:r w:rsidRPr="00124038">
              <w:rPr>
                <w:rFonts w:ascii="Times New Roman" w:eastAsia="Calibri" w:hAnsi="Times New Roman" w:cs="Times New Roman"/>
                <w:sz w:val="20"/>
                <w:szCs w:val="20"/>
              </w:rPr>
              <w:t>В состав Комиссии по проведению Торговых процедур в обязательном порядке входят: руководители следующих подразделений Ростовского РФ АО «</w:t>
            </w:r>
            <w:proofErr w:type="spellStart"/>
            <w:r w:rsidRPr="00124038">
              <w:rPr>
                <w:rFonts w:ascii="Times New Roman" w:eastAsia="Calibri" w:hAnsi="Times New Roman" w:cs="Times New Roman"/>
                <w:sz w:val="20"/>
                <w:szCs w:val="20"/>
              </w:rPr>
              <w:t>Россельхозбанк</w:t>
            </w:r>
            <w:proofErr w:type="spellEnd"/>
            <w:r w:rsidRPr="00124038">
              <w:rPr>
                <w:rFonts w:ascii="Times New Roman" w:eastAsia="Calibri" w:hAnsi="Times New Roman" w:cs="Times New Roman"/>
                <w:sz w:val="20"/>
                <w:szCs w:val="20"/>
              </w:rPr>
              <w:t>»: Службы по работе с проблемными активами, Юридического отдела, Службы безопасности, Службы по работе с обеспечением исполнения обязательств.</w:t>
            </w:r>
          </w:p>
        </w:tc>
      </w:tr>
    </w:tbl>
    <w:p w14:paraId="78060DF8" w14:textId="77777777" w:rsidR="00AA4909" w:rsidRDefault="00AA4909" w:rsidP="00394896">
      <w:pPr>
        <w:spacing w:after="0" w:line="240" w:lineRule="auto"/>
        <w:rPr>
          <w:rFonts w:ascii="Times New Roman" w:eastAsia="Times New Roman" w:hAnsi="Times New Roman" w:cs="Times New Roman"/>
          <w:color w:val="FF0000"/>
          <w:lang w:eastAsia="ru-RU"/>
        </w:rPr>
      </w:pPr>
    </w:p>
    <w:p w14:paraId="2C549B49" w14:textId="77777777" w:rsidR="00742664" w:rsidRDefault="00742664" w:rsidP="00394896">
      <w:pPr>
        <w:spacing w:after="0" w:line="240" w:lineRule="auto"/>
        <w:rPr>
          <w:rFonts w:ascii="Times New Roman" w:eastAsia="Times New Roman" w:hAnsi="Times New Roman" w:cs="Times New Roman"/>
          <w:color w:val="FF0000"/>
          <w:lang w:eastAsia="ru-RU"/>
        </w:rPr>
      </w:pPr>
    </w:p>
    <w:p w14:paraId="5E2E460F"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059A46AF"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455531B7"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54D63D7D"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727611B1"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0CF6C0C1"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40BD9100"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5044E884"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4D19CDBA"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0BD944C1"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161FAB1E"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7B365164"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212540EC" w14:textId="77777777" w:rsidR="00586706" w:rsidRDefault="00586706" w:rsidP="00394896">
      <w:pPr>
        <w:spacing w:after="0" w:line="240" w:lineRule="auto"/>
        <w:rPr>
          <w:rFonts w:ascii="Times New Roman" w:eastAsia="Times New Roman" w:hAnsi="Times New Roman" w:cs="Times New Roman"/>
          <w:color w:val="FF0000"/>
          <w:lang w:eastAsia="ru-RU"/>
        </w:rPr>
      </w:pPr>
      <w:bookmarkStart w:id="37" w:name="_GoBack"/>
      <w:bookmarkEnd w:id="37"/>
    </w:p>
    <w:p w14:paraId="636E0968"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374F8C22" w14:textId="77777777" w:rsidR="00124038" w:rsidRDefault="00124038" w:rsidP="00394896">
      <w:pPr>
        <w:spacing w:after="0" w:line="240" w:lineRule="auto"/>
        <w:rPr>
          <w:rFonts w:ascii="Times New Roman" w:eastAsia="Times New Roman" w:hAnsi="Times New Roman" w:cs="Times New Roman"/>
          <w:color w:val="FF0000"/>
          <w:lang w:eastAsia="ru-RU"/>
        </w:rPr>
      </w:pPr>
    </w:p>
    <w:p w14:paraId="36BD7AD1" w14:textId="77777777" w:rsidR="00124038" w:rsidRPr="00394896" w:rsidRDefault="00124038" w:rsidP="00394896">
      <w:pPr>
        <w:spacing w:after="0" w:line="240" w:lineRule="auto"/>
        <w:rPr>
          <w:rFonts w:ascii="Times New Roman" w:eastAsia="Times New Roman" w:hAnsi="Times New Roman" w:cs="Times New Roman"/>
          <w:color w:val="FF0000"/>
          <w:lang w:eastAsia="ru-RU"/>
        </w:rPr>
      </w:pPr>
    </w:p>
    <w:p w14:paraId="79032D7F" w14:textId="77777777" w:rsidR="00611DEC" w:rsidRDefault="00394896" w:rsidP="00394896">
      <w:pPr>
        <w:spacing w:after="0" w:line="240" w:lineRule="auto"/>
        <w:jc w:val="right"/>
        <w:rPr>
          <w:rFonts w:ascii="Times New Roman" w:eastAsia="Calibri" w:hAnsi="Times New Roman" w:cs="Times New Roman"/>
        </w:rPr>
      </w:pPr>
      <w:bookmarkStart w:id="38" w:name="_Hlk164425972"/>
      <w:r w:rsidRPr="00394896">
        <w:rPr>
          <w:rFonts w:ascii="Times New Roman" w:eastAsia="Calibri" w:hAnsi="Times New Roman" w:cs="Times New Roman"/>
        </w:rPr>
        <w:t>Приложение 1</w:t>
      </w:r>
    </w:p>
    <w:p w14:paraId="6D29933D" w14:textId="5FCDE626"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 к Торговой документации</w:t>
      </w:r>
    </w:p>
    <w:bookmarkEnd w:id="38"/>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22F56799" w14:textId="77777777" w:rsidR="00394896" w:rsidRDefault="00394896" w:rsidP="003054A2">
      <w:pPr>
        <w:spacing w:after="0" w:line="240" w:lineRule="auto"/>
        <w:ind w:left="6980" w:right="20"/>
        <w:jc w:val="center"/>
        <w:rPr>
          <w:rFonts w:ascii="Times New Roman" w:eastAsia="Times New Roman" w:hAnsi="Times New Roman" w:cs="Times New Roman"/>
          <w:sz w:val="24"/>
          <w:szCs w:val="24"/>
        </w:rPr>
      </w:pPr>
    </w:p>
    <w:p w14:paraId="59C76146" w14:textId="77777777" w:rsidR="00124038" w:rsidRPr="00124038" w:rsidRDefault="00124038" w:rsidP="00124038">
      <w:pPr>
        <w:tabs>
          <w:tab w:val="left" w:pos="851"/>
          <w:tab w:val="left" w:pos="993"/>
        </w:tabs>
        <w:spacing w:after="0" w:line="240" w:lineRule="auto"/>
        <w:jc w:val="both"/>
        <w:rPr>
          <w:rFonts w:ascii="Times New Roman" w:eastAsia="Times New Roman" w:hAnsi="Times New Roman" w:cs="Times New Roman"/>
          <w:sz w:val="24"/>
          <w:szCs w:val="24"/>
          <w:lang w:eastAsia="ru-RU"/>
        </w:rPr>
      </w:pPr>
      <w:r w:rsidRPr="00124038">
        <w:rPr>
          <w:rFonts w:ascii="Times New Roman" w:eastAsia="Calibri" w:hAnsi="Times New Roman" w:cs="Times New Roman"/>
          <w:b/>
          <w:sz w:val="24"/>
          <w:szCs w:val="24"/>
        </w:rPr>
        <w:t xml:space="preserve">Лот </w:t>
      </w:r>
      <w:r w:rsidRPr="00124038">
        <w:rPr>
          <w:rFonts w:ascii="Times New Roman" w:eastAsia="Calibri" w:hAnsi="Times New Roman" w:cs="Times New Roman"/>
          <w:b/>
          <w:sz w:val="24"/>
          <w:szCs w:val="24"/>
          <w:lang w:val="en-US"/>
        </w:rPr>
        <w:t>I</w:t>
      </w:r>
      <w:r w:rsidRPr="00124038">
        <w:rPr>
          <w:rFonts w:ascii="Times New Roman" w:eastAsia="Calibri" w:hAnsi="Times New Roman" w:cs="Times New Roman"/>
          <w:b/>
          <w:sz w:val="24"/>
          <w:szCs w:val="24"/>
        </w:rPr>
        <w:t xml:space="preserve">. </w:t>
      </w:r>
      <w:r w:rsidRPr="00124038">
        <w:rPr>
          <w:rFonts w:ascii="Times New Roman" w:eastAsia="Times New Roman" w:hAnsi="Times New Roman" w:cs="Times New Roman"/>
          <w:b/>
          <w:sz w:val="24"/>
          <w:szCs w:val="24"/>
          <w:lang w:eastAsia="ru-RU"/>
        </w:rPr>
        <w:t>Документы/основания право собственности</w:t>
      </w:r>
    </w:p>
    <w:p w14:paraId="50EBAD12" w14:textId="77777777" w:rsidR="00124038" w:rsidRPr="00124038" w:rsidRDefault="00124038" w:rsidP="00124038">
      <w:pPr>
        <w:autoSpaceDE w:val="0"/>
        <w:autoSpaceDN w:val="0"/>
        <w:adjustRightInd w:val="0"/>
        <w:spacing w:after="0" w:line="240" w:lineRule="auto"/>
        <w:jc w:val="center"/>
        <w:rPr>
          <w:rFonts w:ascii="Times New Roman" w:eastAsia="Times New Roman" w:hAnsi="Times New Roman" w:cs="Times New Roman"/>
          <w:b/>
          <w:snapToGrid w:val="0"/>
          <w:sz w:val="24"/>
          <w:szCs w:val="24"/>
          <w:highlight w:val="yellow"/>
          <w:lang w:eastAsia="ru-RU"/>
        </w:rPr>
      </w:pPr>
    </w:p>
    <w:tbl>
      <w:tblPr>
        <w:tblStyle w:val="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124038" w:rsidRPr="00124038" w14:paraId="2B27BC11" w14:textId="77777777" w:rsidTr="00124038">
        <w:tc>
          <w:tcPr>
            <w:tcW w:w="456" w:type="dxa"/>
            <w:hideMark/>
          </w:tcPr>
          <w:p w14:paraId="7C5B61EE" w14:textId="77777777" w:rsidR="00124038" w:rsidRPr="00124038" w:rsidRDefault="00124038" w:rsidP="00124038">
            <w:pPr>
              <w:widowControl w:val="0"/>
              <w:tabs>
                <w:tab w:val="left" w:pos="8460"/>
              </w:tabs>
              <w:rPr>
                <w:rFonts w:ascii="Times New Roman" w:eastAsia="Times New Roman" w:hAnsi="Times New Roman"/>
                <w:sz w:val="24"/>
                <w:szCs w:val="24"/>
              </w:rPr>
            </w:pPr>
            <w:r w:rsidRPr="00124038">
              <w:rPr>
                <w:rFonts w:ascii="Times New Roman" w:eastAsia="Times New Roman" w:hAnsi="Times New Roman"/>
                <w:sz w:val="24"/>
                <w:szCs w:val="24"/>
              </w:rPr>
              <w:t>1</w:t>
            </w:r>
          </w:p>
        </w:tc>
        <w:tc>
          <w:tcPr>
            <w:tcW w:w="9172" w:type="dxa"/>
            <w:hideMark/>
          </w:tcPr>
          <w:p w14:paraId="58C8D1DC" w14:textId="77777777" w:rsidR="00124038" w:rsidRPr="00124038" w:rsidRDefault="00124038" w:rsidP="00124038">
            <w:pPr>
              <w:widowControl w:val="0"/>
              <w:tabs>
                <w:tab w:val="left" w:pos="8460"/>
              </w:tabs>
              <w:jc w:val="both"/>
              <w:rPr>
                <w:rFonts w:ascii="Times New Roman" w:eastAsia="Times New Roman" w:hAnsi="Times New Roman"/>
                <w:sz w:val="24"/>
                <w:szCs w:val="24"/>
              </w:rPr>
            </w:pPr>
            <w:r w:rsidRPr="00124038">
              <w:rPr>
                <w:rFonts w:ascii="Times New Roman" w:eastAsia="Times New Roman" w:hAnsi="Times New Roman"/>
                <w:sz w:val="24"/>
                <w:szCs w:val="24"/>
              </w:rPr>
              <w:t>Выписки из ЕГРН от 25.08.2020 г.</w:t>
            </w:r>
          </w:p>
        </w:tc>
      </w:tr>
      <w:tr w:rsidR="00124038" w:rsidRPr="00124038" w14:paraId="22FA061C" w14:textId="77777777" w:rsidTr="00124038">
        <w:tc>
          <w:tcPr>
            <w:tcW w:w="456" w:type="dxa"/>
            <w:hideMark/>
          </w:tcPr>
          <w:p w14:paraId="2E66952B" w14:textId="77777777" w:rsidR="00124038" w:rsidRPr="00124038" w:rsidRDefault="00124038" w:rsidP="00124038">
            <w:pPr>
              <w:widowControl w:val="0"/>
              <w:tabs>
                <w:tab w:val="left" w:pos="8460"/>
              </w:tabs>
              <w:rPr>
                <w:rFonts w:ascii="Times New Roman" w:eastAsia="Times New Roman" w:hAnsi="Times New Roman"/>
                <w:sz w:val="24"/>
                <w:szCs w:val="24"/>
              </w:rPr>
            </w:pPr>
            <w:r w:rsidRPr="00124038">
              <w:rPr>
                <w:rFonts w:ascii="Times New Roman" w:eastAsia="Times New Roman" w:hAnsi="Times New Roman"/>
                <w:sz w:val="24"/>
                <w:szCs w:val="24"/>
              </w:rPr>
              <w:t>2</w:t>
            </w:r>
          </w:p>
        </w:tc>
        <w:tc>
          <w:tcPr>
            <w:tcW w:w="9172" w:type="dxa"/>
            <w:hideMark/>
          </w:tcPr>
          <w:p w14:paraId="307566EB" w14:textId="77777777" w:rsidR="00124038" w:rsidRPr="00124038" w:rsidRDefault="00124038" w:rsidP="00124038">
            <w:pPr>
              <w:widowControl w:val="0"/>
              <w:tabs>
                <w:tab w:val="left" w:pos="8460"/>
              </w:tabs>
              <w:jc w:val="both"/>
              <w:rPr>
                <w:rFonts w:ascii="Times New Roman" w:eastAsia="Times New Roman" w:hAnsi="Times New Roman"/>
                <w:sz w:val="24"/>
                <w:szCs w:val="24"/>
              </w:rPr>
            </w:pPr>
            <w:r w:rsidRPr="00124038">
              <w:rPr>
                <w:rFonts w:ascii="Times New Roman" w:eastAsia="Times New Roman" w:hAnsi="Times New Roman"/>
                <w:sz w:val="24"/>
                <w:szCs w:val="24"/>
              </w:rPr>
              <w:t>Акт о передаче не реализованного имущества должника взыскателю от 11.03.2020 г.</w:t>
            </w:r>
          </w:p>
        </w:tc>
      </w:tr>
      <w:tr w:rsidR="00124038" w:rsidRPr="00124038" w14:paraId="5E1713E0" w14:textId="77777777" w:rsidTr="00124038">
        <w:tc>
          <w:tcPr>
            <w:tcW w:w="456" w:type="dxa"/>
            <w:hideMark/>
          </w:tcPr>
          <w:p w14:paraId="6CC9379C" w14:textId="77777777" w:rsidR="00124038" w:rsidRPr="00124038" w:rsidRDefault="00124038" w:rsidP="00124038">
            <w:pPr>
              <w:widowControl w:val="0"/>
              <w:tabs>
                <w:tab w:val="left" w:pos="8460"/>
              </w:tabs>
              <w:rPr>
                <w:rFonts w:ascii="Times New Roman" w:eastAsia="Times New Roman" w:hAnsi="Times New Roman"/>
                <w:sz w:val="24"/>
                <w:szCs w:val="24"/>
              </w:rPr>
            </w:pPr>
            <w:r w:rsidRPr="00124038">
              <w:rPr>
                <w:rFonts w:ascii="Times New Roman" w:eastAsia="Times New Roman" w:hAnsi="Times New Roman"/>
                <w:sz w:val="24"/>
                <w:szCs w:val="24"/>
              </w:rPr>
              <w:t>3</w:t>
            </w:r>
          </w:p>
        </w:tc>
        <w:tc>
          <w:tcPr>
            <w:tcW w:w="9172" w:type="dxa"/>
            <w:hideMark/>
          </w:tcPr>
          <w:p w14:paraId="7E675AE6" w14:textId="77777777" w:rsidR="00124038" w:rsidRPr="00124038" w:rsidRDefault="00124038" w:rsidP="00124038">
            <w:pPr>
              <w:widowControl w:val="0"/>
              <w:tabs>
                <w:tab w:val="left" w:pos="8460"/>
              </w:tabs>
              <w:jc w:val="both"/>
              <w:rPr>
                <w:rFonts w:ascii="Times New Roman" w:eastAsia="Times New Roman" w:hAnsi="Times New Roman"/>
                <w:sz w:val="24"/>
                <w:szCs w:val="24"/>
              </w:rPr>
            </w:pPr>
            <w:r w:rsidRPr="00124038">
              <w:rPr>
                <w:rFonts w:ascii="Times New Roman" w:eastAsia="Times New Roman" w:hAnsi="Times New Roman"/>
                <w:sz w:val="24"/>
                <w:szCs w:val="24"/>
              </w:rPr>
              <w:t xml:space="preserve">Решение </w:t>
            </w:r>
            <w:proofErr w:type="spellStart"/>
            <w:r w:rsidRPr="00124038">
              <w:rPr>
                <w:rFonts w:ascii="Times New Roman" w:eastAsia="Times New Roman" w:hAnsi="Times New Roman"/>
                <w:sz w:val="24"/>
                <w:szCs w:val="24"/>
              </w:rPr>
              <w:t>Элистинского</w:t>
            </w:r>
            <w:proofErr w:type="spellEnd"/>
            <w:r w:rsidRPr="00124038">
              <w:rPr>
                <w:rFonts w:ascii="Times New Roman" w:eastAsia="Times New Roman" w:hAnsi="Times New Roman"/>
                <w:sz w:val="24"/>
                <w:szCs w:val="24"/>
              </w:rPr>
              <w:t xml:space="preserve"> городского суда Республики Калмыкия № 2-2007/2018 от 18.07.2018 г. </w:t>
            </w:r>
          </w:p>
        </w:tc>
      </w:tr>
    </w:tbl>
    <w:p w14:paraId="6D20E8DB"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5A7A3995"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7E70A1B7"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671B46CA"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67F1B2F"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8F780F6"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D3F2AAC"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361517A"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5E88F71"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885585D"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3246510"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473053D"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659EBBB"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AEEA95E"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7EE8AA42"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153029B5"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A9299FF"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AD407C6"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EBC87AE"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E89E8ED"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77B9038E"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60D7263C"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6D82A726"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C417FA8"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6715471"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E6ED78E"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9D79705"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2257BD9"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18873D80"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2307EC7"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A1BA705"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4890CD5"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981A0EA"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6555A4A7"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3F011F0D"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F804E20"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0655A73"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F031175"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754E617F"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E982668"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4C076184"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3C0C77C"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2CF8D95D"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5B2DBEBA" w14:textId="77777777" w:rsidR="007A0E6B" w:rsidRDefault="007A0E6B" w:rsidP="003054A2">
      <w:pPr>
        <w:spacing w:after="0" w:line="240" w:lineRule="auto"/>
        <w:ind w:left="6980" w:right="20"/>
        <w:jc w:val="center"/>
        <w:rPr>
          <w:rFonts w:ascii="Times New Roman" w:eastAsia="Times New Roman" w:hAnsi="Times New Roman" w:cs="Times New Roman"/>
          <w:sz w:val="24"/>
          <w:szCs w:val="24"/>
        </w:rPr>
      </w:pPr>
    </w:p>
    <w:p w14:paraId="071AF9E0"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2069B719"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6AB2FDFF" w14:textId="30775A91" w:rsidR="007A0E6B" w:rsidRDefault="007A0E6B" w:rsidP="007A0E6B">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Приложение </w:t>
      </w:r>
      <w:r>
        <w:rPr>
          <w:rFonts w:ascii="Times New Roman" w:eastAsia="Calibri" w:hAnsi="Times New Roman" w:cs="Times New Roman"/>
        </w:rPr>
        <w:t>2</w:t>
      </w:r>
    </w:p>
    <w:p w14:paraId="6FC6FD12" w14:textId="77777777" w:rsidR="007A0E6B" w:rsidRPr="00394896" w:rsidRDefault="007A0E6B" w:rsidP="007A0E6B">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 к Торговой документации</w:t>
      </w:r>
    </w:p>
    <w:p w14:paraId="6D7606D4"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2B90359C"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0C435928"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77DC8944" w14:textId="77777777" w:rsidR="00124038" w:rsidRDefault="00124038" w:rsidP="003054A2">
      <w:pPr>
        <w:spacing w:after="0" w:line="240" w:lineRule="auto"/>
        <w:ind w:left="6980" w:right="20"/>
        <w:jc w:val="center"/>
        <w:rPr>
          <w:rFonts w:ascii="Times New Roman" w:eastAsia="Times New Roman" w:hAnsi="Times New Roman" w:cs="Times New Roman"/>
          <w:sz w:val="24"/>
          <w:szCs w:val="24"/>
        </w:rPr>
      </w:pPr>
    </w:p>
    <w:p w14:paraId="07593EFF" w14:textId="77777777" w:rsidR="00124038" w:rsidRPr="00394896" w:rsidRDefault="00124038" w:rsidP="003054A2">
      <w:pPr>
        <w:spacing w:after="0" w:line="240" w:lineRule="auto"/>
        <w:ind w:left="6980" w:right="20"/>
        <w:jc w:val="center"/>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proofErr w:type="gramStart"/>
      <w:r w:rsidRPr="00404133">
        <w:rPr>
          <w:rFonts w:ascii="Times New Roman" w:eastAsia="Times New Roman" w:hAnsi="Times New Roman" w:cs="Times New Roman"/>
          <w:sz w:val="24"/>
          <w:szCs w:val="24"/>
          <w:lang w:val="en-US" w:eastAsia="ru-RU"/>
        </w:rPr>
        <w:t>c</w:t>
      </w:r>
      <w:proofErr w:type="spellStart"/>
      <w:proofErr w:type="gramEnd"/>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1.  Пакет документов, указанных в извещении и оформленных надлежащим образом,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2.  Подписанная претендентом опись представленных документов (в двух экземплярах)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3. Платежные реквизиты, номер счета в банке, на который перечисляется сумма возвращаемого задатка,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404133">
              <w:rPr>
                <w:rFonts w:ascii="Times New Roman" w:eastAsia="Times New Roman" w:hAnsi="Times New Roman" w:cs="Times New Roman"/>
                <w:sz w:val="18"/>
                <w:szCs w:val="18"/>
                <w:lang w:eastAsia="ru-RU"/>
              </w:rPr>
              <w:t>(должность Претендента/</w:t>
            </w:r>
            <w:proofErr w:type="gramEnd"/>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____ </w:t>
      </w:r>
      <w:proofErr w:type="gramStart"/>
      <w:r w:rsidRPr="00404133">
        <w:rPr>
          <w:rFonts w:ascii="Times New Roman" w:eastAsia="Times New Roman" w:hAnsi="Times New Roman" w:cs="Times New Roman"/>
          <w:sz w:val="24"/>
          <w:szCs w:val="24"/>
          <w:lang w:eastAsia="ru-RU"/>
        </w:rPr>
        <w:t>ч</w:t>
      </w:r>
      <w:proofErr w:type="gramEnd"/>
      <w:r w:rsidRPr="00404133">
        <w:rPr>
          <w:rFonts w:ascii="Times New Roman" w:eastAsia="Times New Roman" w:hAnsi="Times New Roman" w:cs="Times New Roman"/>
          <w:sz w:val="24"/>
          <w:szCs w:val="24"/>
          <w:lang w:eastAsia="ru-RU"/>
        </w:rPr>
        <w:t xml:space="preserve">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B31574B" w14:textId="77777777" w:rsidR="003054A2" w:rsidRDefault="003054A2"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26C10073" w:rsidR="00394896" w:rsidRPr="00394896" w:rsidRDefault="003054A2" w:rsidP="00394896">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7A0E6B">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персональных данных", </w:t>
      </w:r>
      <w:proofErr w:type="gramStart"/>
      <w:r w:rsidRPr="00394896">
        <w:rPr>
          <w:rFonts w:ascii="Times New Roman" w:eastAsia="Times New Roman" w:hAnsi="Times New Roman" w:cs="Times New Roman"/>
          <w:lang w:eastAsia="ru-RU"/>
        </w:rPr>
        <w:t>зарегистрирован</w:t>
      </w:r>
      <w:proofErr w:type="gramEnd"/>
      <w:r w:rsidRPr="00394896">
        <w:rPr>
          <w:rFonts w:ascii="Times New Roman" w:eastAsia="Times New Roman" w:hAnsi="Times New Roman" w:cs="Times New Roman"/>
          <w:lang w:eastAsia="ru-RU"/>
        </w:rPr>
        <w:t>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(Вариант: ________________________________________________________________,</w:t>
      </w:r>
      <w:proofErr w:type="gramEnd"/>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зарегистрирован</w:t>
      </w:r>
      <w:proofErr w:type="gramEnd"/>
      <w:r w:rsidRPr="00394896">
        <w:rPr>
          <w:rFonts w:ascii="Times New Roman" w:eastAsia="Times New Roman" w:hAnsi="Times New Roman" w:cs="Times New Roman"/>
          <w:i/>
          <w:iCs/>
          <w:lang w:eastAsia="ru-RU"/>
        </w:rPr>
        <w:t>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roofErr w:type="gramEnd"/>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w:t>
      </w:r>
      <w:proofErr w:type="spellStart"/>
      <w:r w:rsidRPr="00394896">
        <w:rPr>
          <w:rFonts w:ascii="Times New Roman" w:eastAsia="Times New Roman" w:hAnsi="Times New Roman" w:cs="Times New Roman"/>
          <w:lang w:eastAsia="ru-RU"/>
        </w:rPr>
        <w:t>Россельхозбанк</w:t>
      </w:r>
      <w:proofErr w:type="spellEnd"/>
      <w:r w:rsidRPr="00394896">
        <w:rPr>
          <w:rFonts w:ascii="Times New Roman" w:eastAsia="Times New Roman" w:hAnsi="Times New Roman" w:cs="Times New Roman"/>
          <w:lang w:eastAsia="ru-RU"/>
        </w:rPr>
        <w:t>»,</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w:t>
      </w:r>
      <w:proofErr w:type="gramStart"/>
      <w:r w:rsidRPr="00394896">
        <w:rPr>
          <w:rFonts w:ascii="Times New Roman" w:eastAsia="Times New Roman" w:hAnsi="Times New Roman" w:cs="Times New Roman"/>
          <w:lang w:eastAsia="ru-RU"/>
        </w:rPr>
        <w:t>г</w:t>
      </w:r>
      <w:proofErr w:type="gramEnd"/>
      <w:r w:rsidRPr="00394896">
        <w:rPr>
          <w:rFonts w:ascii="Times New Roman" w:eastAsia="Times New Roman" w:hAnsi="Times New Roman" w:cs="Times New Roman"/>
          <w:lang w:eastAsia="ru-RU"/>
        </w:rPr>
        <w:t>.</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FC3C8A">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B2308" w14:textId="77777777" w:rsidR="00FC3C8A" w:rsidRDefault="00FC3C8A" w:rsidP="00394896">
      <w:pPr>
        <w:spacing w:after="0" w:line="240" w:lineRule="auto"/>
      </w:pPr>
      <w:r>
        <w:separator/>
      </w:r>
    </w:p>
  </w:endnote>
  <w:endnote w:type="continuationSeparator" w:id="0">
    <w:p w14:paraId="7D232AEB" w14:textId="77777777" w:rsidR="00FC3C8A" w:rsidRDefault="00FC3C8A"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BEBB3" w14:textId="77777777" w:rsidR="00FC3C8A" w:rsidRDefault="00FC3C8A" w:rsidP="00394896">
      <w:pPr>
        <w:spacing w:after="0" w:line="240" w:lineRule="auto"/>
      </w:pPr>
      <w:r>
        <w:separator/>
      </w:r>
    </w:p>
  </w:footnote>
  <w:footnote w:type="continuationSeparator" w:id="0">
    <w:p w14:paraId="265F9F27" w14:textId="77777777" w:rsidR="00FC3C8A" w:rsidRDefault="00FC3C8A"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4">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5">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6">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9">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1"/>
  </w:num>
  <w:num w:numId="3">
    <w:abstractNumId w:val="2"/>
  </w:num>
  <w:num w:numId="4">
    <w:abstractNumId w:val="9"/>
  </w:num>
  <w:num w:numId="5">
    <w:abstractNumId w:val="0"/>
  </w:num>
  <w:num w:numId="6">
    <w:abstractNumId w:val="7"/>
  </w:num>
  <w:num w:numId="7">
    <w:abstractNumId w:val="6"/>
  </w:num>
  <w:num w:numId="8">
    <w:abstractNumId w:val="8"/>
  </w:num>
  <w:num w:numId="9">
    <w:abstractNumId w:val="10"/>
  </w:num>
  <w:num w:numId="10">
    <w:abstractNumId w:val="5"/>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5190A"/>
    <w:rsid w:val="000A694E"/>
    <w:rsid w:val="000B1838"/>
    <w:rsid w:val="000C4D01"/>
    <w:rsid w:val="00124038"/>
    <w:rsid w:val="00125751"/>
    <w:rsid w:val="00183291"/>
    <w:rsid w:val="00183CE6"/>
    <w:rsid w:val="001B2E83"/>
    <w:rsid w:val="001C33C1"/>
    <w:rsid w:val="001C6518"/>
    <w:rsid w:val="001E4192"/>
    <w:rsid w:val="001F02BB"/>
    <w:rsid w:val="001F2F9F"/>
    <w:rsid w:val="00213D8D"/>
    <w:rsid w:val="00226252"/>
    <w:rsid w:val="002518EE"/>
    <w:rsid w:val="00263FD7"/>
    <w:rsid w:val="00273674"/>
    <w:rsid w:val="00284DCA"/>
    <w:rsid w:val="0028711F"/>
    <w:rsid w:val="002A09E9"/>
    <w:rsid w:val="002B57BA"/>
    <w:rsid w:val="002C3322"/>
    <w:rsid w:val="002D1AF5"/>
    <w:rsid w:val="002D3633"/>
    <w:rsid w:val="002D67E3"/>
    <w:rsid w:val="002E4B00"/>
    <w:rsid w:val="003054A2"/>
    <w:rsid w:val="00325FE4"/>
    <w:rsid w:val="00357CCC"/>
    <w:rsid w:val="00373CEE"/>
    <w:rsid w:val="00394896"/>
    <w:rsid w:val="00396200"/>
    <w:rsid w:val="00404133"/>
    <w:rsid w:val="004111F7"/>
    <w:rsid w:val="00414FD9"/>
    <w:rsid w:val="004166D5"/>
    <w:rsid w:val="004223EC"/>
    <w:rsid w:val="004267C7"/>
    <w:rsid w:val="00444ED5"/>
    <w:rsid w:val="0045449F"/>
    <w:rsid w:val="004567F3"/>
    <w:rsid w:val="00461634"/>
    <w:rsid w:val="00474B72"/>
    <w:rsid w:val="00485A85"/>
    <w:rsid w:val="004A3CCD"/>
    <w:rsid w:val="004B5AED"/>
    <w:rsid w:val="004E6985"/>
    <w:rsid w:val="00501E09"/>
    <w:rsid w:val="00524B7A"/>
    <w:rsid w:val="00531B31"/>
    <w:rsid w:val="005559F8"/>
    <w:rsid w:val="00560670"/>
    <w:rsid w:val="00586706"/>
    <w:rsid w:val="005B4E46"/>
    <w:rsid w:val="00611DEC"/>
    <w:rsid w:val="006161D4"/>
    <w:rsid w:val="006251DA"/>
    <w:rsid w:val="00656AF6"/>
    <w:rsid w:val="006E42CE"/>
    <w:rsid w:val="006E603E"/>
    <w:rsid w:val="00703144"/>
    <w:rsid w:val="00704A28"/>
    <w:rsid w:val="00713479"/>
    <w:rsid w:val="00736448"/>
    <w:rsid w:val="00742664"/>
    <w:rsid w:val="00746F84"/>
    <w:rsid w:val="00763F47"/>
    <w:rsid w:val="007755D3"/>
    <w:rsid w:val="007A0333"/>
    <w:rsid w:val="007A0E6B"/>
    <w:rsid w:val="007D2BBE"/>
    <w:rsid w:val="008014EA"/>
    <w:rsid w:val="00814F71"/>
    <w:rsid w:val="0086749F"/>
    <w:rsid w:val="0088765B"/>
    <w:rsid w:val="00891297"/>
    <w:rsid w:val="008A02E7"/>
    <w:rsid w:val="008C6965"/>
    <w:rsid w:val="00915091"/>
    <w:rsid w:val="009378FE"/>
    <w:rsid w:val="00940271"/>
    <w:rsid w:val="009677D0"/>
    <w:rsid w:val="00974CE7"/>
    <w:rsid w:val="00983BCB"/>
    <w:rsid w:val="009A280D"/>
    <w:rsid w:val="009B0FF0"/>
    <w:rsid w:val="009B458B"/>
    <w:rsid w:val="009F33AC"/>
    <w:rsid w:val="009F47F6"/>
    <w:rsid w:val="00A00A86"/>
    <w:rsid w:val="00A03A0D"/>
    <w:rsid w:val="00A72E8B"/>
    <w:rsid w:val="00A92839"/>
    <w:rsid w:val="00A9455E"/>
    <w:rsid w:val="00A959FA"/>
    <w:rsid w:val="00AA4909"/>
    <w:rsid w:val="00AB3017"/>
    <w:rsid w:val="00AE2B6D"/>
    <w:rsid w:val="00B003F1"/>
    <w:rsid w:val="00B24BD1"/>
    <w:rsid w:val="00B72DD8"/>
    <w:rsid w:val="00B95483"/>
    <w:rsid w:val="00B95EEF"/>
    <w:rsid w:val="00BB1842"/>
    <w:rsid w:val="00BB3393"/>
    <w:rsid w:val="00BC4850"/>
    <w:rsid w:val="00BF1D65"/>
    <w:rsid w:val="00BF2CDC"/>
    <w:rsid w:val="00C0131E"/>
    <w:rsid w:val="00C028BE"/>
    <w:rsid w:val="00C34CDA"/>
    <w:rsid w:val="00C5028E"/>
    <w:rsid w:val="00C93582"/>
    <w:rsid w:val="00CE3F8B"/>
    <w:rsid w:val="00D27770"/>
    <w:rsid w:val="00D31266"/>
    <w:rsid w:val="00D3456D"/>
    <w:rsid w:val="00D529AB"/>
    <w:rsid w:val="00D5595E"/>
    <w:rsid w:val="00D81024"/>
    <w:rsid w:val="00D85C68"/>
    <w:rsid w:val="00DD66CE"/>
    <w:rsid w:val="00DE1354"/>
    <w:rsid w:val="00DE2D26"/>
    <w:rsid w:val="00E00BCF"/>
    <w:rsid w:val="00E014ED"/>
    <w:rsid w:val="00E12A8A"/>
    <w:rsid w:val="00E40B0F"/>
    <w:rsid w:val="00E45AFC"/>
    <w:rsid w:val="00E56ECA"/>
    <w:rsid w:val="00E65274"/>
    <w:rsid w:val="00E716C2"/>
    <w:rsid w:val="00EA4ED2"/>
    <w:rsid w:val="00EF0B79"/>
    <w:rsid w:val="00F03757"/>
    <w:rsid w:val="00F24791"/>
    <w:rsid w:val="00F31C3C"/>
    <w:rsid w:val="00F34645"/>
    <w:rsid w:val="00F400F4"/>
    <w:rsid w:val="00F829ED"/>
    <w:rsid w:val="00FA23B8"/>
    <w:rsid w:val="00FB0E29"/>
    <w:rsid w:val="00FB4854"/>
    <w:rsid w:val="00FC3C8A"/>
    <w:rsid w:val="00FD67E7"/>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5F90-8F66-4ABF-A139-93A6048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2024-04-19T12:38:00Z</dcterms:created>
  <dcterms:modified xsi:type="dcterms:W3CDTF">2024-04-19T12:38:00Z</dcterms:modified>
</cp:coreProperties>
</file>