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7594856" w14:textId="41EFBFF8" w:rsidR="00A13974" w:rsidRDefault="00020E44" w:rsidP="00D33B46">
      <w:pPr>
        <w:widowControl w:val="0"/>
        <w:ind w:firstLine="709"/>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D34E66" w:rsidRPr="00D34E66">
        <w:rPr>
          <w:rFonts w:eastAsiaTheme="minorHAnsi"/>
          <w:bCs/>
          <w:sz w:val="24"/>
          <w:szCs w:val="24"/>
          <w:lang w:eastAsia="en-US"/>
        </w:rPr>
        <w:t>право заключения договора купли-продажи имущества, находящегося в собственности АО «Россельхозбанк» (Нижегородский Региональный филиал АО «Россельхозбанк) (далее - Филиал/Банк/Кредитор/Принципал), вытекающие из договоров/ судебных актов (оснований)</w:t>
      </w:r>
      <w:r w:rsidR="00D34E66">
        <w:rPr>
          <w:rFonts w:eastAsiaTheme="minorHAnsi"/>
          <w:bCs/>
          <w:sz w:val="24"/>
          <w:szCs w:val="24"/>
          <w:lang w:eastAsia="en-US"/>
        </w:rPr>
        <w:t>.</w:t>
      </w:r>
    </w:p>
    <w:p w14:paraId="28BDF14F" w14:textId="1ECD90D5" w:rsidR="00A13974" w:rsidRDefault="003C0393" w:rsidP="00D34E66">
      <w:pPr>
        <w:widowControl w:val="0"/>
        <w:ind w:firstLine="709"/>
        <w:jc w:val="both"/>
        <w:rPr>
          <w:rFonts w:eastAsiaTheme="minorHAnsi"/>
          <w:bCs/>
          <w:sz w:val="24"/>
          <w:szCs w:val="24"/>
          <w:lang w:eastAsia="en-US"/>
        </w:rPr>
      </w:pPr>
      <w:r w:rsidRPr="003C0393">
        <w:rPr>
          <w:rFonts w:eastAsiaTheme="minorHAnsi"/>
          <w:bCs/>
          <w:sz w:val="24"/>
          <w:szCs w:val="24"/>
          <w:lang w:eastAsia="en-US"/>
        </w:rPr>
        <w:t xml:space="preserve">Лот №1: </w:t>
      </w:r>
      <w:r w:rsidR="00D34E66" w:rsidRPr="00D34E66">
        <w:rPr>
          <w:rFonts w:eastAsiaTheme="minorHAnsi"/>
          <w:bCs/>
          <w:sz w:val="24"/>
          <w:szCs w:val="24"/>
          <w:lang w:eastAsia="en-US"/>
        </w:rPr>
        <w:t>Жилой дом кадастровый номер 33:26:010202:220 площадью 487,9 кв.м. и земельный участок кадастровый номер 33:26:010202:11 площадью 1718 +/- 14 кв.м. Адрес: Владимирская область, г. Муром, ул. Зарубина, 27</w:t>
      </w:r>
      <w:r w:rsidR="00D34E66">
        <w:rPr>
          <w:rFonts w:eastAsiaTheme="minorHAnsi"/>
          <w:bCs/>
          <w:sz w:val="24"/>
          <w:szCs w:val="24"/>
          <w:lang w:eastAsia="en-US"/>
        </w:rPr>
        <w:t>.</w:t>
      </w:r>
    </w:p>
    <w:p w14:paraId="7E2DE67A" w14:textId="77777777" w:rsidR="00D34E66" w:rsidRDefault="00D34E66" w:rsidP="00D34E66">
      <w:pPr>
        <w:widowControl w:val="0"/>
        <w:ind w:firstLine="709"/>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53ADC26F"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«1</w:t>
      </w:r>
      <w:r w:rsidR="003517EB">
        <w:rPr>
          <w:sz w:val="24"/>
          <w:szCs w:val="24"/>
        </w:rPr>
        <w:t>5</w:t>
      </w:r>
      <w:r w:rsidRPr="003C0393">
        <w:rPr>
          <w:sz w:val="24"/>
          <w:szCs w:val="24"/>
        </w:rPr>
        <w:t>» мая 2024 по «</w:t>
      </w:r>
      <w:r w:rsidR="003517EB">
        <w:rPr>
          <w:sz w:val="24"/>
          <w:szCs w:val="24"/>
        </w:rPr>
        <w:t>2</w:t>
      </w:r>
      <w:r w:rsidR="00D34E66">
        <w:rPr>
          <w:sz w:val="24"/>
          <w:szCs w:val="24"/>
        </w:rPr>
        <w:t>5</w:t>
      </w:r>
      <w:r w:rsidRPr="003C0393">
        <w:rPr>
          <w:sz w:val="24"/>
          <w:szCs w:val="24"/>
        </w:rPr>
        <w:t xml:space="preserve">» июня 2024 включительно.  </w:t>
      </w:r>
    </w:p>
    <w:p w14:paraId="6B3E1829" w14:textId="77777777" w:rsidR="003C0393" w:rsidRPr="003C0393" w:rsidRDefault="003C0393" w:rsidP="003C0393">
      <w:pPr>
        <w:widowControl w:val="0"/>
        <w:jc w:val="both"/>
        <w:rPr>
          <w:sz w:val="24"/>
          <w:szCs w:val="24"/>
        </w:rPr>
      </w:pPr>
    </w:p>
    <w:p w14:paraId="4831C100" w14:textId="025CE767"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«1</w:t>
      </w:r>
      <w:r w:rsidR="00D34E66">
        <w:rPr>
          <w:sz w:val="24"/>
          <w:szCs w:val="24"/>
        </w:rPr>
        <w:t>5</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71010839"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09:00 по Московскому времени «</w:t>
      </w:r>
      <w:r w:rsidR="00D34E66">
        <w:rPr>
          <w:sz w:val="24"/>
          <w:szCs w:val="24"/>
        </w:rPr>
        <w:t>16</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196CDAF1"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Pr="003C0393">
        <w:rPr>
          <w:sz w:val="24"/>
          <w:szCs w:val="24"/>
        </w:rPr>
        <w:t>21:00 по Московскому времени «1</w:t>
      </w:r>
      <w:r w:rsidR="00D34E66">
        <w:rPr>
          <w:sz w:val="24"/>
          <w:szCs w:val="24"/>
        </w:rPr>
        <w:t>0</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339ADC54"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«1</w:t>
      </w:r>
      <w:r w:rsidR="00D34E66">
        <w:rPr>
          <w:sz w:val="24"/>
          <w:szCs w:val="24"/>
        </w:rPr>
        <w:t>7</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0AD6B4DB" w14:textId="36629539" w:rsidR="003C0393" w:rsidRPr="003C0393" w:rsidRDefault="003C0393" w:rsidP="003C0393">
      <w:pPr>
        <w:widowControl w:val="0"/>
        <w:jc w:val="both"/>
        <w:rPr>
          <w:sz w:val="24"/>
          <w:szCs w:val="24"/>
        </w:rPr>
      </w:pPr>
      <w:r w:rsidRPr="003C0393">
        <w:rPr>
          <w:b/>
          <w:bCs/>
          <w:sz w:val="24"/>
          <w:szCs w:val="24"/>
        </w:rPr>
        <w:t xml:space="preserve">Дата оформления протокола об окончании приема и регистрации заявок Заявителей: </w:t>
      </w:r>
      <w:r w:rsidRPr="003C0393">
        <w:rPr>
          <w:sz w:val="24"/>
          <w:szCs w:val="24"/>
        </w:rPr>
        <w:t>«1</w:t>
      </w:r>
      <w:r w:rsidR="00D34E66">
        <w:rPr>
          <w:sz w:val="24"/>
          <w:szCs w:val="24"/>
        </w:rPr>
        <w:t>7</w:t>
      </w:r>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43A8CEBB"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Pr="003C0393">
        <w:rPr>
          <w:sz w:val="24"/>
          <w:szCs w:val="24"/>
        </w:rPr>
        <w:t>09:00 по Московскому времени «</w:t>
      </w:r>
      <w:r w:rsidR="003517EB">
        <w:rPr>
          <w:sz w:val="24"/>
          <w:szCs w:val="24"/>
        </w:rPr>
        <w:t>2</w:t>
      </w:r>
      <w:r w:rsidR="00D34E66">
        <w:rPr>
          <w:sz w:val="24"/>
          <w:szCs w:val="24"/>
        </w:rPr>
        <w:t>5</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7D556C3C"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3517EB">
        <w:rPr>
          <w:sz w:val="24"/>
          <w:szCs w:val="24"/>
        </w:rPr>
        <w:t>2</w:t>
      </w:r>
      <w:r w:rsidR="00D34E66">
        <w:rPr>
          <w:sz w:val="24"/>
          <w:szCs w:val="24"/>
        </w:rPr>
        <w:t>5</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2552D9BF" w14:textId="77777777" w:rsidR="003C0393" w:rsidRPr="003C0393" w:rsidRDefault="003C0393" w:rsidP="003C0393">
      <w:pPr>
        <w:widowControl w:val="0"/>
        <w:jc w:val="both"/>
        <w:rPr>
          <w:b/>
          <w:bCs/>
          <w:sz w:val="24"/>
          <w:szCs w:val="24"/>
        </w:rPr>
      </w:pPr>
      <w:r w:rsidRPr="003C0393">
        <w:rPr>
          <w:b/>
          <w:bCs/>
          <w:sz w:val="24"/>
          <w:szCs w:val="24"/>
        </w:rPr>
        <w:t xml:space="preserve">Дата оформления протокола о признании результатов торговой процедуры: </w:t>
      </w:r>
    </w:p>
    <w:p w14:paraId="767849BA" w14:textId="4104F556" w:rsidR="003C0393" w:rsidRPr="003C0393" w:rsidRDefault="003C0393" w:rsidP="003C0393">
      <w:pPr>
        <w:widowControl w:val="0"/>
        <w:jc w:val="both"/>
        <w:rPr>
          <w:sz w:val="24"/>
          <w:szCs w:val="24"/>
        </w:rPr>
      </w:pPr>
      <w:r w:rsidRPr="003C0393">
        <w:rPr>
          <w:sz w:val="24"/>
          <w:szCs w:val="24"/>
        </w:rPr>
        <w:t>«</w:t>
      </w:r>
      <w:r w:rsidR="003517EB">
        <w:rPr>
          <w:sz w:val="24"/>
          <w:szCs w:val="24"/>
        </w:rPr>
        <w:t>2</w:t>
      </w:r>
      <w:r w:rsidR="00D34E66">
        <w:rPr>
          <w:sz w:val="24"/>
          <w:szCs w:val="24"/>
        </w:rPr>
        <w:t>5</w:t>
      </w:r>
      <w:r w:rsidRPr="003C0393">
        <w:rPr>
          <w:sz w:val="24"/>
          <w:szCs w:val="24"/>
        </w:rPr>
        <w:t>» июня 2024.</w:t>
      </w:r>
    </w:p>
    <w:p w14:paraId="7FB16080" w14:textId="77777777" w:rsidR="003C0393" w:rsidRPr="003C0393" w:rsidRDefault="003C0393"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1BAD79B5" w14:textId="489BF437" w:rsidR="00A13974" w:rsidRPr="00A13974" w:rsidRDefault="00A13974" w:rsidP="00A13974">
      <w:pPr>
        <w:rPr>
          <w:sz w:val="24"/>
          <w:szCs w:val="24"/>
        </w:rPr>
      </w:pPr>
      <w:r w:rsidRPr="00A13974">
        <w:rPr>
          <w:sz w:val="24"/>
          <w:szCs w:val="24"/>
        </w:rPr>
        <w:t xml:space="preserve">Местонахождение: 119034, г. Москва, </w:t>
      </w:r>
      <w:r w:rsidR="00D34E66">
        <w:rPr>
          <w:sz w:val="24"/>
          <w:szCs w:val="24"/>
        </w:rPr>
        <w:t>Г</w:t>
      </w:r>
      <w:r w:rsidRPr="00A13974">
        <w:rPr>
          <w:sz w:val="24"/>
          <w:szCs w:val="24"/>
        </w:rPr>
        <w:t xml:space="preserve">агаринский пер. д. 3, </w:t>
      </w:r>
    </w:p>
    <w:p w14:paraId="5CFF81CF" w14:textId="21F4B1A2" w:rsidR="00D34E66" w:rsidRPr="00D34E66" w:rsidRDefault="00D34E66" w:rsidP="00D34E66">
      <w:pPr>
        <w:rPr>
          <w:b/>
          <w:bCs/>
          <w:sz w:val="24"/>
          <w:szCs w:val="24"/>
        </w:rPr>
      </w:pPr>
      <w:r w:rsidRPr="00D34E66">
        <w:rPr>
          <w:b/>
          <w:bCs/>
          <w:sz w:val="24"/>
          <w:szCs w:val="24"/>
        </w:rPr>
        <w:t>Нижегородский региональный филиал АО «Россельхозбанк»</w:t>
      </w:r>
    </w:p>
    <w:p w14:paraId="5123B778" w14:textId="77777777" w:rsidR="00D34E66" w:rsidRPr="00D34E66" w:rsidRDefault="00D34E66" w:rsidP="00D34E66">
      <w:pPr>
        <w:rPr>
          <w:sz w:val="24"/>
          <w:szCs w:val="24"/>
        </w:rPr>
      </w:pPr>
      <w:r w:rsidRPr="00D34E66">
        <w:rPr>
          <w:sz w:val="24"/>
          <w:szCs w:val="24"/>
        </w:rPr>
        <w:t xml:space="preserve"> Место нахождения филиала: 603022, г. Н. Новгород, ул. Кулибина, д. 3, </w:t>
      </w:r>
    </w:p>
    <w:p w14:paraId="62424531" w14:textId="77777777" w:rsidR="00D34E66" w:rsidRPr="00D34E66" w:rsidRDefault="00D34E66" w:rsidP="00D34E66">
      <w:pPr>
        <w:rPr>
          <w:sz w:val="24"/>
          <w:szCs w:val="24"/>
        </w:rPr>
      </w:pPr>
      <w:r w:rsidRPr="00D34E66">
        <w:rPr>
          <w:sz w:val="24"/>
          <w:szCs w:val="24"/>
        </w:rPr>
        <w:t>ИНН 7725114488, КПП 526002001, ОГРН 1027700342890, БИК042202846</w:t>
      </w:r>
    </w:p>
    <w:p w14:paraId="23655766" w14:textId="77777777" w:rsidR="00D34E66" w:rsidRPr="00D34E66" w:rsidRDefault="00D34E66" w:rsidP="00D34E66">
      <w:pPr>
        <w:rPr>
          <w:sz w:val="24"/>
          <w:szCs w:val="24"/>
        </w:rPr>
      </w:pPr>
      <w:proofErr w:type="spellStart"/>
      <w:r w:rsidRPr="00D34E66">
        <w:rPr>
          <w:sz w:val="24"/>
          <w:szCs w:val="24"/>
        </w:rPr>
        <w:t>Кор.счет</w:t>
      </w:r>
      <w:proofErr w:type="spellEnd"/>
      <w:r w:rsidRPr="00D34E66">
        <w:rPr>
          <w:sz w:val="24"/>
          <w:szCs w:val="24"/>
        </w:rPr>
        <w:t xml:space="preserve"> № 30101810000000000846 в Волго-Вятском ГУ Банка России г. Н. Новгород, </w:t>
      </w:r>
    </w:p>
    <w:p w14:paraId="4DD61296" w14:textId="01D69B6E" w:rsidR="00A13974" w:rsidRDefault="00D34E66" w:rsidP="00D34E66">
      <w:pPr>
        <w:rPr>
          <w:sz w:val="24"/>
          <w:szCs w:val="24"/>
        </w:rPr>
      </w:pPr>
      <w:r w:rsidRPr="00D34E66">
        <w:rPr>
          <w:sz w:val="24"/>
          <w:szCs w:val="24"/>
        </w:rPr>
        <w:t>р/с 60311810139000003352</w:t>
      </w:r>
    </w:p>
    <w:p w14:paraId="53EBCDA0" w14:textId="77777777" w:rsidR="00D34E66" w:rsidRDefault="00D34E66" w:rsidP="00D34E66">
      <w:pPr>
        <w:rPr>
          <w:sz w:val="24"/>
          <w:szCs w:val="24"/>
        </w:rPr>
      </w:pPr>
    </w:p>
    <w:p w14:paraId="13194E88" w14:textId="0295F49E" w:rsidR="0051726C" w:rsidRPr="00E90195" w:rsidRDefault="00424E22" w:rsidP="00A13974">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CA85127" w14:textId="77777777" w:rsidR="003C0393" w:rsidRP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p>
    <w:p w14:paraId="103E2D2C" w14:textId="77777777" w:rsidR="003C0393" w:rsidRPr="003C0393" w:rsidRDefault="003C0393" w:rsidP="003C0393">
      <w:pPr>
        <w:jc w:val="both"/>
        <w:rPr>
          <w:b/>
          <w:bCs/>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E7F872D" w14:textId="53A58617" w:rsidR="003C0393" w:rsidRDefault="003C0393" w:rsidP="003C0393">
      <w:pPr>
        <w:jc w:val="both"/>
        <w:rPr>
          <w:b/>
          <w:bCs/>
          <w:sz w:val="24"/>
          <w:szCs w:val="24"/>
        </w:rPr>
      </w:pPr>
      <w:r w:rsidRPr="003C0393">
        <w:rPr>
          <w:b/>
          <w:bCs/>
          <w:sz w:val="24"/>
          <w:szCs w:val="24"/>
        </w:rPr>
        <w:t xml:space="preserve">Размер обеспечения Заявки на участие в Торговой процедуре: </w:t>
      </w:r>
      <w:r w:rsidRPr="003C0393">
        <w:rPr>
          <w:sz w:val="24"/>
          <w:szCs w:val="24"/>
        </w:rPr>
        <w:t xml:space="preserve">5 (пять)% от </w:t>
      </w:r>
      <w:r w:rsidR="008B4FCC">
        <w:rPr>
          <w:sz w:val="24"/>
          <w:szCs w:val="24"/>
        </w:rPr>
        <w:t>начальной цены</w:t>
      </w:r>
      <w:r w:rsidR="003517EB">
        <w:rPr>
          <w:sz w:val="24"/>
          <w:szCs w:val="24"/>
        </w:rPr>
        <w:t xml:space="preserve"> </w:t>
      </w:r>
      <w:r w:rsidR="00A13974">
        <w:rPr>
          <w:sz w:val="24"/>
          <w:szCs w:val="24"/>
        </w:rPr>
        <w:t>реализации</w:t>
      </w:r>
      <w:r w:rsidR="00D34E66">
        <w:rPr>
          <w:sz w:val="24"/>
          <w:szCs w:val="24"/>
        </w:rPr>
        <w:t xml:space="preserve"> лота</w:t>
      </w:r>
      <w:r w:rsidR="003517EB">
        <w:rPr>
          <w:sz w:val="24"/>
          <w:szCs w:val="24"/>
        </w:rPr>
        <w:t>.</w:t>
      </w:r>
    </w:p>
    <w:p w14:paraId="182D010A" w14:textId="77777777" w:rsidR="003C0393" w:rsidRDefault="003C0393" w:rsidP="003C0393">
      <w:pPr>
        <w:jc w:val="both"/>
        <w:rPr>
          <w:b/>
          <w:bCs/>
          <w:sz w:val="24"/>
          <w:szCs w:val="24"/>
        </w:rPr>
      </w:pP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6D58F9E4" w:rsidR="005B163E" w:rsidRDefault="001E57BF" w:rsidP="006F3A34">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w:t>
      </w:r>
      <w:r w:rsidR="000027B7">
        <w:rPr>
          <w:b/>
          <w:sz w:val="24"/>
          <w:szCs w:val="24"/>
        </w:rPr>
        <w:t>купли-продажи</w:t>
      </w:r>
      <w:r w:rsidR="00424E22" w:rsidRPr="00E90195">
        <w:rPr>
          <w:b/>
          <w:sz w:val="24"/>
          <w:szCs w:val="24"/>
        </w:rPr>
        <w:t xml:space="preserve"> с Покупателем</w:t>
      </w:r>
      <w:r w:rsidR="00424E22" w:rsidRPr="00E90195">
        <w:rPr>
          <w:sz w:val="24"/>
          <w:szCs w:val="24"/>
        </w:rPr>
        <w:t xml:space="preserve"> – </w:t>
      </w:r>
      <w:r w:rsidR="00D74A01" w:rsidRPr="00D74A01">
        <w:rPr>
          <w:sz w:val="24"/>
          <w:szCs w:val="24"/>
        </w:rPr>
        <w:t xml:space="preserve">не позднее </w:t>
      </w:r>
      <w:r w:rsidR="006F3A34">
        <w:rPr>
          <w:sz w:val="24"/>
          <w:szCs w:val="24"/>
        </w:rPr>
        <w:t>5</w:t>
      </w:r>
      <w:r w:rsidR="00D74A01" w:rsidRPr="00D74A01">
        <w:rPr>
          <w:sz w:val="24"/>
          <w:szCs w:val="24"/>
        </w:rPr>
        <w:t xml:space="preserve"> (</w:t>
      </w:r>
      <w:r w:rsidR="006F3A34">
        <w:rPr>
          <w:sz w:val="24"/>
          <w:szCs w:val="24"/>
        </w:rPr>
        <w:t>пяти</w:t>
      </w:r>
      <w:r w:rsidR="00D74A01" w:rsidRPr="00D74A01">
        <w:rPr>
          <w:sz w:val="24"/>
          <w:szCs w:val="24"/>
        </w:rPr>
        <w:t xml:space="preserve">) рабочих </w:t>
      </w:r>
      <w:r w:rsidR="00F77E45" w:rsidRPr="00F77E45">
        <w:rPr>
          <w:sz w:val="24"/>
          <w:szCs w:val="24"/>
        </w:rPr>
        <w:t xml:space="preserve">дней </w:t>
      </w:r>
      <w:r w:rsidR="00151EEF" w:rsidRPr="00151EEF">
        <w:rPr>
          <w:sz w:val="24"/>
          <w:szCs w:val="24"/>
        </w:rPr>
        <w:t>со дня размещения</w:t>
      </w:r>
      <w:r w:rsidR="006F3A34" w:rsidRPr="006F3A34">
        <w:rPr>
          <w:sz w:val="24"/>
          <w:szCs w:val="24"/>
        </w:rPr>
        <w:t xml:space="preserve"> протокола о результатах торгов</w:t>
      </w:r>
      <w:r w:rsidR="006F3A34">
        <w:rPr>
          <w:sz w:val="24"/>
          <w:szCs w:val="24"/>
        </w:rPr>
        <w:t>.</w:t>
      </w:r>
    </w:p>
    <w:p w14:paraId="6641B38D" w14:textId="77777777" w:rsidR="006F3A34" w:rsidRPr="00E90195" w:rsidRDefault="006F3A34" w:rsidP="006F3A34">
      <w:pPr>
        <w:keepNext/>
        <w:keepLines/>
        <w:jc w:val="both"/>
        <w:rPr>
          <w:b/>
          <w:sz w:val="24"/>
          <w:szCs w:val="24"/>
        </w:rPr>
      </w:pPr>
    </w:p>
    <w:p w14:paraId="704486CD" w14:textId="3FD1677D" w:rsidR="00424E22" w:rsidRPr="00E90195" w:rsidRDefault="00424E22" w:rsidP="00B5095D">
      <w:pPr>
        <w:keepNext/>
        <w:keepLines/>
        <w:jc w:val="both"/>
        <w:rPr>
          <w:sz w:val="24"/>
          <w:szCs w:val="24"/>
        </w:rPr>
      </w:pPr>
      <w:r w:rsidRPr="00E90195">
        <w:rPr>
          <w:b/>
          <w:sz w:val="24"/>
          <w:szCs w:val="24"/>
        </w:rPr>
        <w:t xml:space="preserve">Срок оплаты по договору </w:t>
      </w:r>
      <w:r w:rsidR="000027B7">
        <w:rPr>
          <w:b/>
          <w:sz w:val="24"/>
          <w:szCs w:val="24"/>
        </w:rPr>
        <w:t>купли-продажи</w:t>
      </w:r>
      <w:r w:rsidRPr="00E90195">
        <w:rPr>
          <w:b/>
          <w:sz w:val="24"/>
          <w:szCs w:val="24"/>
        </w:rPr>
        <w:t xml:space="preserve"> </w:t>
      </w:r>
      <w:r w:rsidRPr="00E90195">
        <w:rPr>
          <w:sz w:val="24"/>
          <w:szCs w:val="24"/>
        </w:rPr>
        <w:t xml:space="preserve">– </w:t>
      </w:r>
      <w:r w:rsidR="006F3A34" w:rsidRPr="006F3A34">
        <w:rPr>
          <w:sz w:val="24"/>
          <w:szCs w:val="24"/>
        </w:rPr>
        <w:t>не более 10 (десяти) календарных дней, с</w:t>
      </w:r>
      <w:r w:rsidR="00A13974">
        <w:rPr>
          <w:sz w:val="24"/>
          <w:szCs w:val="24"/>
        </w:rPr>
        <w:t>о дня</w:t>
      </w:r>
      <w:r w:rsidR="006F3A34" w:rsidRPr="006F3A34">
        <w:rPr>
          <w:sz w:val="24"/>
          <w:szCs w:val="24"/>
        </w:rPr>
        <w:t xml:space="preserve"> заключения договора</w:t>
      </w:r>
      <w:r w:rsidR="00A13974">
        <w:rPr>
          <w:sz w:val="24"/>
          <w:szCs w:val="24"/>
        </w:rPr>
        <w:t xml:space="preserve"> реализации</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835CBE7" w14:textId="77777777" w:rsidR="00A13974" w:rsidRPr="00E90195" w:rsidRDefault="00A13974" w:rsidP="005B163E">
      <w:pPr>
        <w:widowControl w:val="0"/>
        <w:rPr>
          <w:b/>
          <w:bCs/>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4900" w:type="pct"/>
        <w:tblInd w:w="0" w:type="dxa"/>
        <w:tblLook w:val="04A0" w:firstRow="1" w:lastRow="0" w:firstColumn="1" w:lastColumn="0" w:noHBand="0" w:noVBand="1"/>
      </w:tblPr>
      <w:tblGrid>
        <w:gridCol w:w="592"/>
        <w:gridCol w:w="3553"/>
        <w:gridCol w:w="1882"/>
        <w:gridCol w:w="2262"/>
        <w:gridCol w:w="1424"/>
      </w:tblGrid>
      <w:tr w:rsidR="00D34E66" w14:paraId="01D4EDCC" w14:textId="77777777" w:rsidTr="00D34E66">
        <w:trPr>
          <w:trHeight w:val="896"/>
        </w:trPr>
        <w:tc>
          <w:tcPr>
            <w:tcW w:w="305" w:type="pct"/>
            <w:tcBorders>
              <w:top w:val="single" w:sz="4" w:space="0" w:color="auto"/>
              <w:left w:val="single" w:sz="4" w:space="0" w:color="auto"/>
              <w:bottom w:val="single" w:sz="4" w:space="0" w:color="auto"/>
              <w:right w:val="single" w:sz="4" w:space="0" w:color="auto"/>
            </w:tcBorders>
            <w:hideMark/>
          </w:tcPr>
          <w:p w14:paraId="5D8AD967" w14:textId="77777777" w:rsidR="00D34E66" w:rsidRDefault="00D34E66">
            <w:pPr>
              <w:jc w:val="center"/>
            </w:pPr>
            <w:r>
              <w:t>№ лота</w:t>
            </w:r>
          </w:p>
        </w:tc>
        <w:tc>
          <w:tcPr>
            <w:tcW w:w="1955" w:type="pct"/>
            <w:tcBorders>
              <w:top w:val="single" w:sz="4" w:space="0" w:color="auto"/>
              <w:left w:val="single" w:sz="4" w:space="0" w:color="auto"/>
              <w:bottom w:val="single" w:sz="4" w:space="0" w:color="auto"/>
              <w:right w:val="single" w:sz="4" w:space="0" w:color="auto"/>
            </w:tcBorders>
            <w:hideMark/>
          </w:tcPr>
          <w:p w14:paraId="32C332CA" w14:textId="77777777" w:rsidR="00D34E66" w:rsidRDefault="00D34E66">
            <w:pPr>
              <w:jc w:val="center"/>
            </w:pPr>
            <w:r>
              <w:t>Наименование и средства</w:t>
            </w:r>
          </w:p>
          <w:p w14:paraId="05803838" w14:textId="77777777" w:rsidR="00D34E66" w:rsidRDefault="00D34E66">
            <w:pPr>
              <w:jc w:val="center"/>
            </w:pPr>
            <w:r>
              <w:t>идентификации объекта</w:t>
            </w:r>
          </w:p>
        </w:tc>
        <w:tc>
          <w:tcPr>
            <w:tcW w:w="1094" w:type="pct"/>
            <w:tcBorders>
              <w:top w:val="single" w:sz="4" w:space="0" w:color="auto"/>
              <w:left w:val="single" w:sz="4" w:space="0" w:color="auto"/>
              <w:bottom w:val="single" w:sz="4" w:space="0" w:color="auto"/>
              <w:right w:val="single" w:sz="4" w:space="0" w:color="auto"/>
            </w:tcBorders>
            <w:hideMark/>
          </w:tcPr>
          <w:p w14:paraId="22F95EBD" w14:textId="77777777" w:rsidR="00D34E66" w:rsidRDefault="00D34E66">
            <w:pPr>
              <w:jc w:val="center"/>
            </w:pPr>
            <w:r>
              <w:t>Начальная цена</w:t>
            </w:r>
          </w:p>
          <w:p w14:paraId="53B43A72" w14:textId="77777777" w:rsidR="00D34E66" w:rsidRDefault="00D34E66">
            <w:pPr>
              <w:jc w:val="center"/>
            </w:pPr>
            <w:r>
              <w:t>реализации объекта в</w:t>
            </w:r>
          </w:p>
          <w:p w14:paraId="443313AF" w14:textId="77777777" w:rsidR="00D34E66" w:rsidRDefault="00D34E66">
            <w:pPr>
              <w:jc w:val="center"/>
            </w:pPr>
            <w:r>
              <w:t>т.ч. НДС, руб.</w:t>
            </w:r>
          </w:p>
        </w:tc>
        <w:tc>
          <w:tcPr>
            <w:tcW w:w="850" w:type="pct"/>
            <w:tcBorders>
              <w:top w:val="single" w:sz="4" w:space="0" w:color="auto"/>
              <w:left w:val="single" w:sz="4" w:space="0" w:color="auto"/>
              <w:bottom w:val="single" w:sz="4" w:space="0" w:color="auto"/>
              <w:right w:val="single" w:sz="4" w:space="0" w:color="auto"/>
            </w:tcBorders>
            <w:hideMark/>
          </w:tcPr>
          <w:p w14:paraId="76870C78" w14:textId="77777777" w:rsidR="00D34E66" w:rsidRDefault="00D34E66">
            <w:pPr>
              <w:jc w:val="center"/>
            </w:pPr>
            <w:r>
              <w:t>Сведения о</w:t>
            </w:r>
          </w:p>
          <w:p w14:paraId="35F64703" w14:textId="77777777" w:rsidR="00D34E66" w:rsidRDefault="00D34E66">
            <w:pPr>
              <w:jc w:val="center"/>
            </w:pPr>
            <w:r>
              <w:t>правоустанавливающих</w:t>
            </w:r>
          </w:p>
          <w:p w14:paraId="440F1BD3" w14:textId="77777777" w:rsidR="00D34E66" w:rsidRDefault="00D34E66">
            <w:pPr>
              <w:jc w:val="center"/>
            </w:pPr>
            <w:r>
              <w:t>документах</w:t>
            </w:r>
          </w:p>
        </w:tc>
        <w:tc>
          <w:tcPr>
            <w:tcW w:w="796" w:type="pct"/>
            <w:tcBorders>
              <w:top w:val="single" w:sz="4" w:space="0" w:color="auto"/>
              <w:left w:val="single" w:sz="4" w:space="0" w:color="auto"/>
              <w:bottom w:val="single" w:sz="4" w:space="0" w:color="auto"/>
              <w:right w:val="single" w:sz="4" w:space="0" w:color="auto"/>
            </w:tcBorders>
            <w:hideMark/>
          </w:tcPr>
          <w:p w14:paraId="12AB5069" w14:textId="77777777" w:rsidR="00D34E66" w:rsidRDefault="00D34E66">
            <w:pPr>
              <w:jc w:val="center"/>
            </w:pPr>
            <w:r>
              <w:t>Сведения об обременениях</w:t>
            </w:r>
          </w:p>
          <w:p w14:paraId="51388F0E" w14:textId="77777777" w:rsidR="00D34E66" w:rsidRDefault="00D34E66">
            <w:pPr>
              <w:jc w:val="center"/>
            </w:pPr>
            <w:r>
              <w:t>третьих лиц</w:t>
            </w:r>
          </w:p>
        </w:tc>
      </w:tr>
      <w:tr w:rsidR="00D34E66" w14:paraId="5B311FCB" w14:textId="77777777" w:rsidTr="00D34E66">
        <w:trPr>
          <w:trHeight w:val="558"/>
        </w:trPr>
        <w:tc>
          <w:tcPr>
            <w:tcW w:w="305" w:type="pct"/>
            <w:tcBorders>
              <w:top w:val="single" w:sz="4" w:space="0" w:color="auto"/>
              <w:left w:val="single" w:sz="4" w:space="0" w:color="auto"/>
              <w:bottom w:val="single" w:sz="4" w:space="0" w:color="auto"/>
              <w:right w:val="single" w:sz="4" w:space="0" w:color="auto"/>
            </w:tcBorders>
          </w:tcPr>
          <w:p w14:paraId="60B35930" w14:textId="77777777" w:rsidR="00D34E66" w:rsidRDefault="00D34E66">
            <w:pPr>
              <w:suppressAutoHyphens/>
              <w:jc w:val="center"/>
            </w:pPr>
          </w:p>
        </w:tc>
        <w:tc>
          <w:tcPr>
            <w:tcW w:w="1955" w:type="pct"/>
            <w:tcBorders>
              <w:top w:val="single" w:sz="4" w:space="0" w:color="auto"/>
              <w:left w:val="single" w:sz="4" w:space="0" w:color="auto"/>
              <w:bottom w:val="single" w:sz="4" w:space="0" w:color="auto"/>
              <w:right w:val="single" w:sz="4" w:space="0" w:color="auto"/>
            </w:tcBorders>
            <w:hideMark/>
          </w:tcPr>
          <w:p w14:paraId="5B717B7A" w14:textId="77777777" w:rsidR="00D34E66" w:rsidRDefault="00D34E66">
            <w:pPr>
              <w:jc w:val="both"/>
            </w:pPr>
            <w:r>
              <w:t>Жилой дом кадастровый номер 33:26:010202:220 площадью 487,9 кв.м. и земельный участок кадастровый номер 33:26:010202:11 площадью 1718 +/- 14 кв.м. Адрес: Владимирская область, г. Муром, ул. Зарубина, 27</w:t>
            </w:r>
          </w:p>
        </w:tc>
        <w:tc>
          <w:tcPr>
            <w:tcW w:w="1094" w:type="pct"/>
            <w:tcBorders>
              <w:top w:val="single" w:sz="4" w:space="0" w:color="auto"/>
              <w:left w:val="single" w:sz="4" w:space="0" w:color="auto"/>
              <w:bottom w:val="single" w:sz="4" w:space="0" w:color="auto"/>
              <w:right w:val="single" w:sz="4" w:space="0" w:color="auto"/>
            </w:tcBorders>
            <w:hideMark/>
          </w:tcPr>
          <w:p w14:paraId="2B9ADD86" w14:textId="77777777" w:rsidR="00D34E66" w:rsidRDefault="00D34E66">
            <w:pPr>
              <w:jc w:val="both"/>
            </w:pPr>
            <w:r>
              <w:t>14 118 211 (четырнадцать миллионов сто восемнадцать тысяч двести одиннадцать) рублей 00 копеек</w:t>
            </w:r>
          </w:p>
        </w:tc>
        <w:tc>
          <w:tcPr>
            <w:tcW w:w="850" w:type="pct"/>
            <w:tcBorders>
              <w:top w:val="single" w:sz="4" w:space="0" w:color="auto"/>
              <w:left w:val="single" w:sz="4" w:space="0" w:color="auto"/>
              <w:bottom w:val="single" w:sz="4" w:space="0" w:color="auto"/>
              <w:right w:val="single" w:sz="4" w:space="0" w:color="auto"/>
            </w:tcBorders>
            <w:hideMark/>
          </w:tcPr>
          <w:p w14:paraId="6F312E3A" w14:textId="482443B9" w:rsidR="00D34E66" w:rsidRDefault="00D34E66" w:rsidP="00D34E66">
            <w:pPr>
              <w:jc w:val="center"/>
            </w:pPr>
            <w:r>
              <w:rPr>
                <w:rFonts w:eastAsiaTheme="minorHAnsi"/>
                <w:bCs/>
                <w:lang w:eastAsia="en-US"/>
              </w:rPr>
              <w:t>Согласно Приложению 1 к Торговой документации</w:t>
            </w:r>
          </w:p>
        </w:tc>
        <w:tc>
          <w:tcPr>
            <w:tcW w:w="796" w:type="pct"/>
            <w:tcBorders>
              <w:top w:val="single" w:sz="4" w:space="0" w:color="auto"/>
              <w:left w:val="single" w:sz="4" w:space="0" w:color="auto"/>
              <w:bottom w:val="single" w:sz="4" w:space="0" w:color="auto"/>
              <w:right w:val="single" w:sz="4" w:space="0" w:color="auto"/>
            </w:tcBorders>
          </w:tcPr>
          <w:p w14:paraId="4CC74B06" w14:textId="77777777" w:rsidR="00D34E66" w:rsidRDefault="00D34E66">
            <w:pPr>
              <w:jc w:val="both"/>
              <w:rPr>
                <w:highlight w:val="yellow"/>
              </w:rPr>
            </w:pPr>
            <w:r>
              <w:t>Обременения отсутствуют</w:t>
            </w:r>
          </w:p>
          <w:p w14:paraId="14960B03" w14:textId="77777777" w:rsidR="00D34E66" w:rsidRDefault="00D34E66">
            <w:pPr>
              <w:suppressAutoHyphens/>
              <w:jc w:val="both"/>
            </w:pPr>
          </w:p>
        </w:tc>
      </w:tr>
    </w:tbl>
    <w:p w14:paraId="128B8234" w14:textId="77777777" w:rsidR="003517EB" w:rsidRDefault="003517EB" w:rsidP="003C0393">
      <w:pPr>
        <w:ind w:firstLine="709"/>
        <w:jc w:val="both"/>
        <w:rPr>
          <w:sz w:val="24"/>
          <w:szCs w:val="24"/>
        </w:rPr>
      </w:pPr>
    </w:p>
    <w:p w14:paraId="02E00E20" w14:textId="472CADE0" w:rsidR="00A13974" w:rsidRDefault="00D34E66" w:rsidP="00A13974">
      <w:pPr>
        <w:ind w:firstLine="709"/>
        <w:jc w:val="both"/>
        <w:rPr>
          <w:sz w:val="24"/>
          <w:szCs w:val="24"/>
        </w:rPr>
      </w:pPr>
      <w:r w:rsidRPr="00D34E66">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w:t>
      </w:r>
      <w:r w:rsidRPr="00D34E66">
        <w:rPr>
          <w:sz w:val="24"/>
          <w:szCs w:val="24"/>
        </w:rPr>
        <w:lastRenderedPageBreak/>
        <w:t xml:space="preserve">права собственности, а именно: выписки из ЕГРН, указанные в Приложении 1 к Заданию. По вопросу ознакомления обращаться к представителям Принципала: </w:t>
      </w:r>
      <w:proofErr w:type="spellStart"/>
      <w:r w:rsidRPr="00D34E66">
        <w:rPr>
          <w:sz w:val="24"/>
          <w:szCs w:val="24"/>
        </w:rPr>
        <w:t>Икизли</w:t>
      </w:r>
      <w:proofErr w:type="spellEnd"/>
      <w:r w:rsidRPr="00D34E66">
        <w:rPr>
          <w:sz w:val="24"/>
          <w:szCs w:val="24"/>
        </w:rPr>
        <w:t xml:space="preserve"> Николай Федорович, ведущий специалист службы по работе с проблемной задолженностью физических лиц Нижегородского РФ, 8 (831) 417-95-39, вн.1169, +7 925 677 95 34, IkizliNF@nnovgorod.rshb.ru</w:t>
      </w:r>
    </w:p>
    <w:p w14:paraId="19323DDE" w14:textId="77777777" w:rsidR="00D34E66" w:rsidRDefault="00D34E66" w:rsidP="00A1397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r w:rsidR="000027B7">
        <w:rPr>
          <w:sz w:val="24"/>
          <w:szCs w:val="24"/>
        </w:rPr>
        <w:t>Имущества</w:t>
      </w:r>
      <w:r w:rsidRPr="00ED2D85">
        <w:rPr>
          <w:sz w:val="24"/>
          <w:szCs w:val="24"/>
        </w:rPr>
        <w:t xml:space="preserve"> победителем которой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lastRenderedPageBreak/>
        <w:t xml:space="preserve">1.8. </w:t>
      </w:r>
      <w:r w:rsidRPr="0029467B">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BC6E747"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3C0393" w:rsidRPr="003C0393">
        <w:rPr>
          <w:sz w:val="24"/>
          <w:szCs w:val="24"/>
        </w:rPr>
        <w:t xml:space="preserve">5 (пять)% от </w:t>
      </w:r>
      <w:r w:rsidR="008B4FCC">
        <w:rPr>
          <w:sz w:val="24"/>
          <w:szCs w:val="24"/>
        </w:rPr>
        <w:t>начальной цены</w:t>
      </w:r>
      <w:r w:rsidR="003517EB" w:rsidRPr="003517EB">
        <w:rPr>
          <w:sz w:val="24"/>
          <w:szCs w:val="24"/>
        </w:rPr>
        <w:t xml:space="preserve"> </w:t>
      </w:r>
      <w:r w:rsidR="00D33B46">
        <w:rPr>
          <w:sz w:val="24"/>
          <w:szCs w:val="24"/>
        </w:rPr>
        <w:t>реализации</w:t>
      </w:r>
      <w:r w:rsidR="00D34E66">
        <w:rPr>
          <w:sz w:val="24"/>
          <w:szCs w:val="24"/>
        </w:rPr>
        <w:t xml:space="preserve"> лота</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lastRenderedPageBreak/>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D34E66" w14:paraId="2BFF105D" w14:textId="77777777" w:rsidTr="00D34E66">
        <w:trPr>
          <w:trHeight w:val="416"/>
        </w:trPr>
        <w:tc>
          <w:tcPr>
            <w:tcW w:w="2554" w:type="dxa"/>
            <w:tcBorders>
              <w:top w:val="single" w:sz="4" w:space="0" w:color="auto"/>
              <w:left w:val="single" w:sz="4" w:space="0" w:color="auto"/>
              <w:bottom w:val="single" w:sz="4" w:space="0" w:color="auto"/>
              <w:right w:val="single" w:sz="4" w:space="0" w:color="auto"/>
            </w:tcBorders>
            <w:hideMark/>
          </w:tcPr>
          <w:p w14:paraId="15604DA1"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t xml:space="preserve">Особенности </w:t>
            </w:r>
            <w:proofErr w:type="gramStart"/>
            <w:r>
              <w:rPr>
                <w:rFonts w:eastAsia="Calibri"/>
                <w:lang w:eastAsia="en-US"/>
              </w:rPr>
              <w:t>проведения  Торговой</w:t>
            </w:r>
            <w:proofErr w:type="gramEnd"/>
            <w:r>
              <w:rPr>
                <w:rFonts w:eastAsia="Calibri"/>
                <w:lang w:eastAsia="en-US"/>
              </w:rPr>
              <w:t xml:space="preserve">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A8EE23F"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Торговая процедура в форме аукциона «на повышение» проводится путем</w:t>
            </w:r>
          </w:p>
          <w:p w14:paraId="468A4CAC"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последовательного повышения участниками аукциона начальной цены продажи на величину, равную либо кратную величине «шага аукциона».</w:t>
            </w:r>
          </w:p>
          <w:p w14:paraId="42AC4EC2"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Торговая процедура в форме аукциона «на повышение» проводится в дату и</w:t>
            </w:r>
          </w:p>
          <w:p w14:paraId="67562E02"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время, указанные в Извещении.</w:t>
            </w:r>
          </w:p>
          <w:p w14:paraId="702FF224"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7A695319"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прием Заявок на участие в Торговой процедуре;</w:t>
            </w:r>
          </w:p>
          <w:p w14:paraId="35A5E862"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прием обеспечения заявки на участие в Торговой процедуре в форме аукциона «на повышение» от Заявителей;</w:t>
            </w:r>
          </w:p>
          <w:p w14:paraId="38D0CCA5"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рассмотрение заявок, определение состава Претендентов на участие в Торговой процедуре в форме аукциона «на повышение»;</w:t>
            </w:r>
          </w:p>
          <w:p w14:paraId="3D47B600"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подведение итогов Торговой процедуры в форме аукциона «на повышение»,</w:t>
            </w:r>
          </w:p>
          <w:p w14:paraId="031DF299"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lastRenderedPageBreak/>
              <w:t>размещение протокола об итогах аукциона «на повышение»;</w:t>
            </w:r>
          </w:p>
          <w:p w14:paraId="2EF08DD5"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возврат обеспечения заявки на участие в Торговой процедуре проигравшим</w:t>
            </w:r>
          </w:p>
          <w:p w14:paraId="5D7DEB56"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Претендентам;</w:t>
            </w:r>
          </w:p>
          <w:p w14:paraId="42BA339C"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перечисление суммы обеспечения заявки на участие в Торговой процедуре</w:t>
            </w:r>
          </w:p>
          <w:p w14:paraId="7C5ABAB0"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Победителя аукциона «на повышение» Принципалу;</w:t>
            </w:r>
          </w:p>
          <w:p w14:paraId="3FB8FC08"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иные мероприятия, предусмотренные настоящим Договором и</w:t>
            </w:r>
          </w:p>
          <w:p w14:paraId="36A98FC1"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законодательством Российской Федерации.</w:t>
            </w:r>
          </w:p>
          <w:p w14:paraId="21FCB894"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Аукцион «на повышение» признается несостоявшимся в следующих случаях:</w:t>
            </w:r>
          </w:p>
          <w:p w14:paraId="7741DAF5"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 не было подано ни одной заявки на участие либо ни один из Заявителей не</w:t>
            </w:r>
          </w:p>
          <w:p w14:paraId="3479D700" w14:textId="77777777" w:rsidR="00D34E66" w:rsidRDefault="00D34E66">
            <w:pPr>
              <w:autoSpaceDE w:val="0"/>
              <w:autoSpaceDN w:val="0"/>
              <w:adjustRightInd w:val="0"/>
              <w:spacing w:line="256" w:lineRule="auto"/>
              <w:rPr>
                <w:rFonts w:cs="TimesNewRomanPSMT"/>
                <w:lang w:eastAsia="en-US"/>
              </w:rPr>
            </w:pPr>
            <w:r>
              <w:rPr>
                <w:rFonts w:cs="TimesNewRomanPSMT"/>
                <w:lang w:eastAsia="en-US"/>
              </w:rPr>
              <w:t>признан участником аукциона;</w:t>
            </w:r>
          </w:p>
          <w:p w14:paraId="4139E75A" w14:textId="77777777" w:rsidR="00D34E66" w:rsidRDefault="00D34E66">
            <w:pPr>
              <w:autoSpaceDE w:val="0"/>
              <w:autoSpaceDN w:val="0"/>
              <w:adjustRightInd w:val="0"/>
              <w:spacing w:line="256" w:lineRule="auto"/>
              <w:rPr>
                <w:lang w:eastAsia="en-US"/>
              </w:rPr>
            </w:pPr>
            <w:r>
              <w:rPr>
                <w:lang w:eastAsia="en-US"/>
              </w:rPr>
              <w:t>- принято решение о признании только одного Заявителя участником аукциона;</w:t>
            </w:r>
          </w:p>
          <w:p w14:paraId="656D450E" w14:textId="77777777" w:rsidR="00D34E66" w:rsidRDefault="00D34E66">
            <w:pPr>
              <w:autoSpaceDE w:val="0"/>
              <w:autoSpaceDN w:val="0"/>
              <w:adjustRightInd w:val="0"/>
              <w:spacing w:line="256" w:lineRule="auto"/>
              <w:rPr>
                <w:lang w:eastAsia="en-US"/>
              </w:rPr>
            </w:pPr>
            <w:r>
              <w:rPr>
                <w:lang w:eastAsia="en-US"/>
              </w:rPr>
              <w:t>- ни один из Претендентов не сделал предложение о приобретении объекта по начальной цене продажи</w:t>
            </w:r>
            <w:r>
              <w:rPr>
                <w:rFonts w:ascii="TimesNewRomanPSMT" w:hAnsi="TimesNewRomanPSMT" w:cs="TimesNewRomanPSMT"/>
                <w:lang w:eastAsia="en-US"/>
              </w:rPr>
              <w:t>.</w:t>
            </w:r>
          </w:p>
        </w:tc>
      </w:tr>
      <w:tr w:rsidR="00D34E66" w14:paraId="1E896550" w14:textId="77777777" w:rsidTr="00D34E66">
        <w:tc>
          <w:tcPr>
            <w:tcW w:w="2554" w:type="dxa"/>
            <w:tcBorders>
              <w:top w:val="single" w:sz="4" w:space="0" w:color="auto"/>
              <w:left w:val="single" w:sz="4" w:space="0" w:color="auto"/>
              <w:bottom w:val="single" w:sz="4" w:space="0" w:color="auto"/>
              <w:right w:val="single" w:sz="4" w:space="0" w:color="auto"/>
            </w:tcBorders>
            <w:hideMark/>
          </w:tcPr>
          <w:p w14:paraId="7323974C" w14:textId="77777777" w:rsidR="00D34E66" w:rsidRDefault="00D34E66">
            <w:pPr>
              <w:autoSpaceDE w:val="0"/>
              <w:autoSpaceDN w:val="0"/>
              <w:adjustRightInd w:val="0"/>
              <w:spacing w:line="256" w:lineRule="auto"/>
              <w:jc w:val="both"/>
              <w:rPr>
                <w:rFonts w:eastAsia="Calibri"/>
                <w:b/>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377044CF" w14:textId="77777777" w:rsidR="00D34E66" w:rsidRDefault="00D34E66">
            <w:pPr>
              <w:autoSpaceDE w:val="0"/>
              <w:autoSpaceDN w:val="0"/>
              <w:adjustRightInd w:val="0"/>
              <w:spacing w:line="256" w:lineRule="auto"/>
              <w:rPr>
                <w:lang w:eastAsia="en-US"/>
              </w:rPr>
            </w:pPr>
            <w:r>
              <w:rPr>
                <w:lang w:eastAsia="en-US"/>
              </w:rPr>
              <w:t>Не менее чем за 30 (тридцать) календарных дней до объявленной даты</w:t>
            </w:r>
          </w:p>
          <w:p w14:paraId="690C78F6" w14:textId="77777777" w:rsidR="00D34E66" w:rsidRDefault="00D34E66">
            <w:pPr>
              <w:tabs>
                <w:tab w:val="left" w:pos="0"/>
                <w:tab w:val="left" w:pos="1276"/>
              </w:tabs>
              <w:suppressAutoHyphens/>
              <w:autoSpaceDE w:val="0"/>
              <w:autoSpaceDN w:val="0"/>
              <w:adjustRightInd w:val="0"/>
              <w:spacing w:line="256" w:lineRule="auto"/>
              <w:jc w:val="both"/>
              <w:outlineLvl w:val="1"/>
              <w:rPr>
                <w:lang w:eastAsia="en-US"/>
              </w:rPr>
            </w:pPr>
            <w:r>
              <w:rPr>
                <w:lang w:eastAsia="en-US"/>
              </w:rPr>
              <w:t>проведения Торговой процедуры в форме аукциона «на повышение».</w:t>
            </w:r>
          </w:p>
        </w:tc>
      </w:tr>
      <w:tr w:rsidR="00D34E66" w14:paraId="465C9B74" w14:textId="77777777" w:rsidTr="00D34E66">
        <w:trPr>
          <w:trHeight w:val="674"/>
        </w:trPr>
        <w:tc>
          <w:tcPr>
            <w:tcW w:w="2554" w:type="dxa"/>
            <w:tcBorders>
              <w:top w:val="single" w:sz="4" w:space="0" w:color="auto"/>
              <w:left w:val="single" w:sz="4" w:space="0" w:color="auto"/>
              <w:bottom w:val="single" w:sz="4" w:space="0" w:color="auto"/>
              <w:right w:val="single" w:sz="4" w:space="0" w:color="auto"/>
            </w:tcBorders>
            <w:hideMark/>
          </w:tcPr>
          <w:p w14:paraId="18006FC7"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63CCE43B" w14:textId="77777777" w:rsidR="00D34E66" w:rsidRDefault="00D34E66">
            <w:pPr>
              <w:tabs>
                <w:tab w:val="left" w:pos="0"/>
                <w:tab w:val="left" w:pos="1134"/>
              </w:tabs>
              <w:suppressAutoHyphens/>
              <w:autoSpaceDE w:val="0"/>
              <w:autoSpaceDN w:val="0"/>
              <w:adjustRightInd w:val="0"/>
              <w:spacing w:line="256" w:lineRule="auto"/>
              <w:jc w:val="both"/>
              <w:outlineLvl w:val="1"/>
              <w:rPr>
                <w:rFonts w:eastAsia="Calibri"/>
                <w:lang w:eastAsia="en-US"/>
              </w:rPr>
            </w:pPr>
            <w:r>
              <w:rPr>
                <w:rFonts w:eastAsia="Calibri"/>
                <w:lang w:eastAsia="en-US"/>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D34E66" w14:paraId="51354C11"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69C479D2" w14:textId="77777777" w:rsidR="00D34E66" w:rsidRDefault="00D34E66">
            <w:pPr>
              <w:autoSpaceDE w:val="0"/>
              <w:autoSpaceDN w:val="0"/>
              <w:adjustRightInd w:val="0"/>
              <w:spacing w:line="256" w:lineRule="auto"/>
              <w:jc w:val="both"/>
              <w:rPr>
                <w:rFonts w:eastAsia="Calibri"/>
                <w:b/>
                <w:lang w:eastAsia="en-US"/>
              </w:rPr>
            </w:pPr>
            <w:r>
              <w:rPr>
                <w:rFonts w:eastAsia="Calibri"/>
                <w:lang w:eastAsia="en-US"/>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31824E79" w14:textId="77777777" w:rsidR="00D34E66" w:rsidRDefault="00D34E66">
            <w:pPr>
              <w:autoSpaceDE w:val="0"/>
              <w:autoSpaceDN w:val="0"/>
              <w:adjustRightInd w:val="0"/>
              <w:spacing w:line="256" w:lineRule="auto"/>
              <w:rPr>
                <w:lang w:eastAsia="en-US"/>
              </w:rPr>
            </w:pPr>
            <w:r>
              <w:rPr>
                <w:lang w:eastAsia="en-US"/>
              </w:rPr>
              <w:t>Общая продолжительность приема Заявок на участие в Торговых процедурах</w:t>
            </w:r>
          </w:p>
          <w:p w14:paraId="6F0941FC" w14:textId="77777777" w:rsidR="00D34E66" w:rsidRDefault="00D34E66">
            <w:pPr>
              <w:autoSpaceDE w:val="0"/>
              <w:autoSpaceDN w:val="0"/>
              <w:adjustRightInd w:val="0"/>
              <w:spacing w:line="256" w:lineRule="auto"/>
              <w:rPr>
                <w:rFonts w:eastAsia="Calibri"/>
                <w:b/>
                <w:lang w:eastAsia="en-US"/>
              </w:rPr>
            </w:pPr>
            <w:r>
              <w:rPr>
                <w:lang w:eastAsia="en-US"/>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D34E66" w14:paraId="7D5C3D0E"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04B41B32"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0C83F9AD" w14:textId="77777777" w:rsidR="00D34E66" w:rsidRDefault="00D34E66">
            <w:pPr>
              <w:widowControl w:val="0"/>
              <w:spacing w:line="256" w:lineRule="auto"/>
              <w:ind w:firstLine="33"/>
              <w:jc w:val="both"/>
              <w:rPr>
                <w:rFonts w:eastAsia="Calibri"/>
                <w:lang w:eastAsia="en-US"/>
              </w:rPr>
            </w:pPr>
            <w:bookmarkStart w:id="7" w:name="OLE_LINK126"/>
            <w:bookmarkStart w:id="8" w:name="OLE_LINK125"/>
            <w:bookmarkStart w:id="9" w:name="OLE_LINK63"/>
            <w:bookmarkStart w:id="10" w:name="OLE_LINK124"/>
            <w:bookmarkStart w:id="11" w:name="OLE_LINK123"/>
            <w:r>
              <w:rPr>
                <w:rFonts w:eastAsia="Calibri"/>
                <w:lang w:eastAsia="en-US"/>
              </w:rPr>
              <w:t xml:space="preserve">- </w:t>
            </w:r>
            <w:bookmarkStart w:id="12" w:name="OLE_LINK128"/>
            <w:bookmarkStart w:id="13" w:name="OLE_LINK127"/>
            <w:r>
              <w:rPr>
                <w:rFonts w:eastAsia="Calibri"/>
                <w:lang w:eastAsia="en-US"/>
              </w:rPr>
              <w:t>платежный документ, подтверждающий внесение обеспечения Заявки на участие в торговой процедуре с отметкой банка;</w:t>
            </w:r>
            <w:bookmarkEnd w:id="12"/>
            <w:bookmarkEnd w:id="13"/>
          </w:p>
          <w:p w14:paraId="3E0E1147"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14" w:name="OLE_LINK129"/>
            <w:r>
              <w:rPr>
                <w:rFonts w:eastAsia="Calibri"/>
                <w:lang w:eastAsia="en-US"/>
              </w:rPr>
              <w:t>копии учредительных документов, заверенные уполномоченным лицом и печатью общества (юридического лица);</w:t>
            </w:r>
            <w:bookmarkEnd w:id="14"/>
          </w:p>
          <w:p w14:paraId="3CB9A9CF" w14:textId="77777777" w:rsidR="00D34E66" w:rsidRDefault="00D34E66">
            <w:pPr>
              <w:widowControl w:val="0"/>
              <w:spacing w:line="256" w:lineRule="auto"/>
              <w:ind w:firstLine="33"/>
              <w:jc w:val="both"/>
              <w:rPr>
                <w:rFonts w:eastAsia="Calibri"/>
                <w:lang w:eastAsia="en-US"/>
              </w:rPr>
            </w:pPr>
            <w:bookmarkStart w:id="15" w:name="OLE_LINK130"/>
            <w:r>
              <w:rPr>
                <w:rFonts w:eastAsia="Calibri"/>
                <w:lang w:eastAsia="en-US"/>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5"/>
          </w:p>
          <w:p w14:paraId="39B43BF2" w14:textId="267334BF" w:rsidR="00D34E66" w:rsidRDefault="00D34E66" w:rsidP="00D34E66">
            <w:pPr>
              <w:widowControl w:val="0"/>
              <w:spacing w:line="256" w:lineRule="auto"/>
              <w:ind w:firstLine="33"/>
              <w:jc w:val="both"/>
              <w:rPr>
                <w:rFonts w:eastAsia="Calibri"/>
                <w:lang w:eastAsia="en-US"/>
              </w:rPr>
            </w:pPr>
            <w:bookmarkStart w:id="16" w:name="OLE_LINK132"/>
            <w:bookmarkStart w:id="17" w:name="OLE_LINK131"/>
            <w:r>
              <w:rPr>
                <w:rFonts w:eastAsia="Calibri"/>
                <w:lang w:eastAsia="en-US"/>
              </w:rPr>
              <w:t xml:space="preserve">- </w:t>
            </w:r>
            <w:bookmarkStart w:id="18" w:name="OLE_LINK133"/>
            <w:r>
              <w:rPr>
                <w:rFonts w:eastAsia="Calibri"/>
                <w:lang w:eastAsia="en-US"/>
              </w:rPr>
              <w:t>доверенность лица, уполномоченного действовать от имени Заявителя при подаче Заявки на участие в торговой процедуре;</w:t>
            </w:r>
            <w:bookmarkEnd w:id="18"/>
          </w:p>
          <w:p w14:paraId="646C7A07" w14:textId="4E8659DA" w:rsidR="00D34E66" w:rsidRDefault="00D34E66" w:rsidP="00D34E66">
            <w:pPr>
              <w:widowControl w:val="0"/>
              <w:spacing w:line="256" w:lineRule="auto"/>
              <w:ind w:firstLine="33"/>
              <w:jc w:val="both"/>
              <w:rPr>
                <w:rFonts w:eastAsia="Calibri"/>
                <w:lang w:eastAsia="en-US"/>
              </w:rPr>
            </w:pPr>
            <w:r>
              <w:rPr>
                <w:rFonts w:eastAsia="Calibri"/>
                <w:lang w:eastAsia="en-US"/>
              </w:rPr>
              <w:t xml:space="preserve">- </w:t>
            </w:r>
            <w:r w:rsidRPr="00D34E66">
              <w:rPr>
                <w:rFonts w:eastAsia="Calibri"/>
                <w:lang w:eastAsia="en-US"/>
              </w:rPr>
              <w:t>согласие на обработку ПД (</w:t>
            </w:r>
            <w:r>
              <w:rPr>
                <w:rFonts w:eastAsia="Calibri"/>
                <w:lang w:eastAsia="en-US"/>
              </w:rPr>
              <w:t>приложение 3 к Торговой документации);</w:t>
            </w:r>
          </w:p>
          <w:p w14:paraId="526C9345" w14:textId="77777777" w:rsidR="00D34E66" w:rsidRDefault="00D34E66">
            <w:pPr>
              <w:widowControl w:val="0"/>
              <w:spacing w:line="256" w:lineRule="auto"/>
              <w:ind w:firstLine="33"/>
              <w:jc w:val="both"/>
              <w:rPr>
                <w:rFonts w:eastAsia="Calibri"/>
                <w:lang w:eastAsia="en-US"/>
              </w:rPr>
            </w:pPr>
            <w:bookmarkStart w:id="19" w:name="OLE_LINK134"/>
            <w:r>
              <w:rPr>
                <w:rFonts w:eastAsia="Calibri"/>
                <w:lang w:eastAsia="en-US"/>
              </w:rPr>
              <w:t xml:space="preserve">- опись документов; </w:t>
            </w:r>
            <w:bookmarkStart w:id="20" w:name="OLE_LINK137"/>
            <w:bookmarkStart w:id="21" w:name="OLE_LINK136"/>
            <w:bookmarkStart w:id="22" w:name="OLE_LINK135"/>
            <w:bookmarkEnd w:id="19"/>
            <w:r>
              <w:rPr>
                <w:rFonts w:eastAsia="Calibri"/>
                <w:lang w:eastAsia="en-US"/>
              </w:rPr>
              <w:t xml:space="preserve">необходимые документы, в том числе: </w:t>
            </w:r>
            <w:bookmarkEnd w:id="16"/>
            <w:bookmarkEnd w:id="17"/>
            <w:bookmarkEnd w:id="20"/>
            <w:bookmarkEnd w:id="21"/>
            <w:bookmarkEnd w:id="22"/>
          </w:p>
          <w:p w14:paraId="2A5AAE89"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23" w:name="OLE_LINK138"/>
            <w:r>
              <w:rPr>
                <w:rFonts w:eastAsia="Calibri"/>
                <w:lang w:eastAsia="en-US"/>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Pr>
                <w:rFonts w:eastAsia="Calibri"/>
                <w:lang w:eastAsia="en-US"/>
              </w:rPr>
              <w:t>.</w:t>
            </w:r>
          </w:p>
          <w:p w14:paraId="73E689E5"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24" w:name="OLE_LINK139"/>
            <w:r>
              <w:rPr>
                <w:rFonts w:eastAsia="Calibri"/>
                <w:lang w:eastAsia="en-US"/>
              </w:rPr>
              <w:t>документы, подтверждающие отсутствие информации о незавершенной реорганизации и процедуре ликвидации Заявителя.</w:t>
            </w:r>
            <w:bookmarkEnd w:id="24"/>
          </w:p>
          <w:p w14:paraId="6E450502"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25" w:name="OLE_LINK141"/>
            <w:bookmarkStart w:id="26" w:name="OLE_LINK140"/>
            <w:r>
              <w:rPr>
                <w:rFonts w:eastAsia="Calibri"/>
                <w:lang w:eastAsia="en-US"/>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68DE1071"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27" w:name="OLE_LINK143"/>
            <w:bookmarkStart w:id="28" w:name="OLE_LINK142"/>
            <w:r>
              <w:rPr>
                <w:rFonts w:eastAsia="Calibri"/>
                <w:lang w:eastAsia="en-US"/>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2A299C7D"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29" w:name="OLE_LINK144"/>
            <w:r>
              <w:rPr>
                <w:rFonts w:eastAsia="Calibri"/>
                <w:lang w:eastAsia="en-US"/>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19652E4C" w14:textId="77777777" w:rsidR="00D34E66" w:rsidRDefault="00D34E66">
            <w:pPr>
              <w:widowControl w:val="0"/>
              <w:spacing w:line="256" w:lineRule="auto"/>
              <w:ind w:firstLine="33"/>
              <w:jc w:val="both"/>
              <w:rPr>
                <w:rFonts w:eastAsia="Calibri"/>
                <w:lang w:eastAsia="en-US"/>
              </w:rPr>
            </w:pPr>
            <w:r>
              <w:rPr>
                <w:rFonts w:eastAsia="Calibri"/>
                <w:lang w:eastAsia="en-US"/>
              </w:rPr>
              <w:lastRenderedPageBreak/>
              <w:t xml:space="preserve">- </w:t>
            </w:r>
            <w:bookmarkStart w:id="30" w:name="OLE_LINK147"/>
            <w:bookmarkStart w:id="31" w:name="OLE_LINK146"/>
            <w:bookmarkStart w:id="32" w:name="OLE_LINK145"/>
            <w:r>
              <w:rPr>
                <w:rFonts w:eastAsia="Calibri"/>
                <w:lang w:eastAsia="en-US"/>
              </w:rPr>
              <w:t>документы, подтверждающих финансовое положение Заявителя (оценивается не хуже, чем «среднее»);</w:t>
            </w:r>
            <w:bookmarkEnd w:id="30"/>
            <w:bookmarkEnd w:id="31"/>
            <w:bookmarkEnd w:id="32"/>
          </w:p>
          <w:p w14:paraId="59ADC6A4" w14:textId="77777777" w:rsidR="00D34E66" w:rsidRDefault="00D34E66">
            <w:pPr>
              <w:widowControl w:val="0"/>
              <w:spacing w:line="256" w:lineRule="auto"/>
              <w:ind w:firstLine="33"/>
              <w:jc w:val="both"/>
              <w:rPr>
                <w:rFonts w:eastAsia="Calibri"/>
                <w:lang w:eastAsia="en-US"/>
              </w:rPr>
            </w:pPr>
            <w:r>
              <w:rPr>
                <w:rFonts w:eastAsia="Calibri"/>
                <w:lang w:eastAsia="en-US"/>
              </w:rPr>
              <w:t xml:space="preserve">- </w:t>
            </w:r>
            <w:bookmarkStart w:id="33" w:name="OLE_LINK149"/>
            <w:bookmarkStart w:id="34" w:name="OLE_LINK148"/>
            <w:r>
              <w:rPr>
                <w:rFonts w:eastAsia="Calibri"/>
                <w:lang w:eastAsia="en-US"/>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7AAA61C8" w14:textId="77777777" w:rsidR="00D34E66" w:rsidRDefault="00D34E66">
            <w:pPr>
              <w:widowControl w:val="0"/>
              <w:spacing w:line="256" w:lineRule="auto"/>
              <w:ind w:firstLine="33"/>
              <w:jc w:val="both"/>
              <w:rPr>
                <w:rFonts w:eastAsia="Calibri"/>
                <w:lang w:eastAsia="en-US"/>
              </w:rPr>
            </w:pPr>
            <w:bookmarkStart w:id="35" w:name="OLE_LINK150"/>
            <w:r>
              <w:rPr>
                <w:rFonts w:eastAsia="Calibri"/>
                <w:lang w:eastAsia="en-US"/>
              </w:rPr>
              <w:t>- Надлежащим образом заверенные копии следующих документов:</w:t>
            </w:r>
            <w:bookmarkEnd w:id="35"/>
          </w:p>
          <w:p w14:paraId="75763E8C" w14:textId="77777777" w:rsidR="00D34E66" w:rsidRDefault="00D34E66">
            <w:pPr>
              <w:widowControl w:val="0"/>
              <w:spacing w:line="256" w:lineRule="auto"/>
              <w:ind w:firstLine="33"/>
              <w:jc w:val="both"/>
              <w:rPr>
                <w:rFonts w:eastAsia="Calibri"/>
                <w:lang w:eastAsia="en-US"/>
              </w:rPr>
            </w:pPr>
            <w:bookmarkStart w:id="36" w:name="OLE_LINK152"/>
            <w:bookmarkStart w:id="37" w:name="OLE_LINK151"/>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44A7BAA" w14:textId="77777777" w:rsidR="00D34E66" w:rsidRDefault="00D34E66">
            <w:pPr>
              <w:widowControl w:val="0"/>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48771DDF" w14:textId="77777777" w:rsidR="00D34E66" w:rsidRDefault="00D34E66">
            <w:pPr>
              <w:widowControl w:val="0"/>
              <w:spacing w:line="256" w:lineRule="auto"/>
              <w:ind w:firstLine="33"/>
              <w:jc w:val="both"/>
              <w:rPr>
                <w:rFonts w:eastAsia="Calibri"/>
                <w:lang w:eastAsia="en-US"/>
              </w:rPr>
            </w:pPr>
          </w:p>
          <w:p w14:paraId="1CC1CA2F" w14:textId="77777777" w:rsidR="00D34E66" w:rsidRDefault="00D34E66">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51761C34" w14:textId="77777777" w:rsidR="00D34E66" w:rsidRDefault="00D34E66">
            <w:pPr>
              <w:widowControl w:val="0"/>
              <w:spacing w:line="256" w:lineRule="auto"/>
              <w:ind w:firstLine="33"/>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3B24DA65" w14:textId="77777777" w:rsidR="00D34E66" w:rsidRDefault="00D34E66">
            <w:pPr>
              <w:widowControl w:val="0"/>
              <w:spacing w:line="256" w:lineRule="auto"/>
              <w:ind w:firstLine="33"/>
              <w:jc w:val="both"/>
              <w:rPr>
                <w:rFonts w:eastAsia="Calibri"/>
                <w:lang w:eastAsia="en-US"/>
              </w:rPr>
            </w:pPr>
            <w:r>
              <w:rPr>
                <w:rFonts w:eastAsia="Calibri"/>
                <w:lang w:eastAsia="en-US"/>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0FDB36ED" w14:textId="77777777" w:rsidR="00D34E66" w:rsidRDefault="00D34E66">
            <w:pPr>
              <w:widowControl w:val="0"/>
              <w:spacing w:line="256" w:lineRule="auto"/>
              <w:ind w:firstLine="33"/>
              <w:jc w:val="both"/>
              <w:rPr>
                <w:rFonts w:eastAsia="Calibri"/>
                <w:lang w:eastAsia="en-US"/>
              </w:rPr>
            </w:pPr>
            <w:r>
              <w:rPr>
                <w:rFonts w:eastAsia="Calibri"/>
                <w:lang w:eastAsia="en-US"/>
              </w:rPr>
              <w:t>- отсутствие по месту регистрации Заявителя исков о взыскании, заявлений имущественного характера;</w:t>
            </w:r>
          </w:p>
          <w:p w14:paraId="67D6DA97" w14:textId="77777777" w:rsidR="00D34E66" w:rsidRDefault="00D34E66">
            <w:pPr>
              <w:widowControl w:val="0"/>
              <w:spacing w:line="256" w:lineRule="auto"/>
              <w:ind w:firstLine="33"/>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88CD169"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w:t>
            </w:r>
            <w:proofErr w:type="gramStart"/>
            <w:r>
              <w:rPr>
                <w:rFonts w:eastAsia="Calibri"/>
                <w:lang w:eastAsia="en-US"/>
              </w:rPr>
              <w:t>легализованы  на</w:t>
            </w:r>
            <w:proofErr w:type="gramEnd"/>
            <w:r>
              <w:rPr>
                <w:rFonts w:eastAsia="Calibri"/>
                <w:lang w:eastAsia="en-US"/>
              </w:rPr>
              <w:t xml:space="preserve"> территории Российской Федерации  и иметь надлежащим образом заверенный перевод на русский язык</w:t>
            </w:r>
            <w:bookmarkEnd w:id="7"/>
            <w:bookmarkEnd w:id="8"/>
            <w:r>
              <w:rPr>
                <w:rFonts w:eastAsia="Calibri"/>
                <w:lang w:eastAsia="en-US"/>
              </w:rPr>
              <w:t>.</w:t>
            </w:r>
            <w:bookmarkEnd w:id="9"/>
            <w:bookmarkEnd w:id="10"/>
            <w:bookmarkEnd w:id="11"/>
            <w:bookmarkEnd w:id="36"/>
            <w:bookmarkEnd w:id="37"/>
          </w:p>
          <w:p w14:paraId="0D4A7AF8" w14:textId="77777777" w:rsidR="00D34E66" w:rsidRDefault="00D34E66">
            <w:pPr>
              <w:autoSpaceDE w:val="0"/>
              <w:autoSpaceDN w:val="0"/>
              <w:adjustRightInd w:val="0"/>
              <w:spacing w:line="256" w:lineRule="auto"/>
              <w:jc w:val="both"/>
              <w:rPr>
                <w:lang w:eastAsia="en-US"/>
              </w:rPr>
            </w:pPr>
          </w:p>
        </w:tc>
      </w:tr>
      <w:tr w:rsidR="00D34E66" w14:paraId="642E63DF"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569F2E6E"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33C524FA" w14:textId="77777777" w:rsidR="00D34E66" w:rsidRDefault="00D34E66">
            <w:pPr>
              <w:tabs>
                <w:tab w:val="left" w:pos="272"/>
              </w:tabs>
              <w:spacing w:line="256" w:lineRule="auto"/>
              <w:jc w:val="both"/>
              <w:rPr>
                <w:lang w:eastAsia="en-US"/>
              </w:rPr>
            </w:pPr>
            <w:r>
              <w:rPr>
                <w:lang w:eastAsia="en-US"/>
              </w:rPr>
              <w:t>1. В отношении Нового кредитора - юридического лица:</w:t>
            </w:r>
          </w:p>
          <w:p w14:paraId="2D285DB1" w14:textId="77777777" w:rsidR="00D34E66" w:rsidRDefault="00D34E66">
            <w:pPr>
              <w:tabs>
                <w:tab w:val="left" w:pos="272"/>
              </w:tabs>
              <w:spacing w:line="256" w:lineRule="auto"/>
              <w:jc w:val="both"/>
              <w:rPr>
                <w:lang w:eastAsia="en-US"/>
              </w:rPr>
            </w:pPr>
            <w:r>
              <w:rPr>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009F2519" w14:textId="77777777" w:rsidR="00D34E66" w:rsidRDefault="00D34E66">
            <w:pPr>
              <w:tabs>
                <w:tab w:val="left" w:pos="272"/>
              </w:tabs>
              <w:spacing w:line="256" w:lineRule="auto"/>
              <w:jc w:val="both"/>
              <w:rPr>
                <w:lang w:eastAsia="en-US"/>
              </w:rPr>
            </w:pPr>
            <w:r>
              <w:rPr>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745EE2BB" w14:textId="77777777" w:rsidR="00D34E66" w:rsidRDefault="00D34E66">
            <w:pPr>
              <w:tabs>
                <w:tab w:val="left" w:pos="272"/>
              </w:tabs>
              <w:spacing w:line="256" w:lineRule="auto"/>
              <w:jc w:val="both"/>
              <w:rPr>
                <w:lang w:eastAsia="en-US"/>
              </w:rPr>
            </w:pPr>
            <w:r>
              <w:rPr>
                <w:lang w:eastAsia="en-US"/>
              </w:rPr>
              <w:t>1.3. Отсутствие информации о незавершенной реорганизации и процедуре ликвидации Нового кредитора.</w:t>
            </w:r>
          </w:p>
          <w:p w14:paraId="772D180B" w14:textId="77777777" w:rsidR="00D34E66" w:rsidRDefault="00D34E66">
            <w:pPr>
              <w:tabs>
                <w:tab w:val="left" w:pos="272"/>
              </w:tabs>
              <w:spacing w:line="256" w:lineRule="auto"/>
              <w:jc w:val="both"/>
              <w:rPr>
                <w:lang w:eastAsia="en-US"/>
              </w:rPr>
            </w:pPr>
            <w:r>
              <w:rPr>
                <w:lang w:eastAsia="en-US"/>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80049F8" w14:textId="77777777" w:rsidR="00D34E66" w:rsidRDefault="00D34E66">
            <w:pPr>
              <w:tabs>
                <w:tab w:val="left" w:pos="272"/>
              </w:tabs>
              <w:spacing w:line="256" w:lineRule="auto"/>
              <w:jc w:val="both"/>
              <w:rPr>
                <w:lang w:eastAsia="en-US"/>
              </w:rPr>
            </w:pPr>
            <w:r>
              <w:rPr>
                <w:lang w:eastAsia="en-US"/>
              </w:rPr>
              <w:lastRenderedPageBreak/>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5E227F31" w14:textId="77777777" w:rsidR="00D34E66" w:rsidRDefault="00D34E66">
            <w:pPr>
              <w:tabs>
                <w:tab w:val="left" w:pos="272"/>
              </w:tabs>
              <w:spacing w:line="256" w:lineRule="auto"/>
              <w:jc w:val="both"/>
              <w:rPr>
                <w:lang w:eastAsia="en-US"/>
              </w:rPr>
            </w:pPr>
            <w:r>
              <w:rPr>
                <w:lang w:eastAsia="en-US"/>
              </w:rPr>
              <w:t>2. В отношении Нового кредитора - физического лица:</w:t>
            </w:r>
          </w:p>
          <w:p w14:paraId="6C765B4E" w14:textId="77777777" w:rsidR="00D34E66" w:rsidRDefault="00D34E66">
            <w:pPr>
              <w:tabs>
                <w:tab w:val="left" w:pos="272"/>
              </w:tabs>
              <w:spacing w:line="256" w:lineRule="auto"/>
              <w:jc w:val="both"/>
              <w:rPr>
                <w:lang w:eastAsia="en-US"/>
              </w:rPr>
            </w:pPr>
            <w:r>
              <w:rPr>
                <w:lang w:eastAsia="en-US"/>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1399BDBE" w14:textId="77777777" w:rsidR="00D34E66" w:rsidRDefault="00D34E66">
            <w:pPr>
              <w:tabs>
                <w:tab w:val="left" w:pos="272"/>
              </w:tabs>
              <w:spacing w:line="256" w:lineRule="auto"/>
              <w:jc w:val="both"/>
              <w:rPr>
                <w:lang w:eastAsia="en-US"/>
              </w:rPr>
            </w:pPr>
            <w:r>
              <w:rPr>
                <w:lang w:eastAsia="en-US"/>
              </w:rPr>
              <w:t>- отсутствия возбужденных исполнительных производств;</w:t>
            </w:r>
          </w:p>
          <w:p w14:paraId="0C10E5FD" w14:textId="77777777" w:rsidR="00D34E66" w:rsidRDefault="00D34E66">
            <w:pPr>
              <w:tabs>
                <w:tab w:val="left" w:pos="272"/>
              </w:tabs>
              <w:spacing w:line="256" w:lineRule="auto"/>
              <w:jc w:val="both"/>
              <w:rPr>
                <w:lang w:eastAsia="en-US"/>
              </w:rPr>
            </w:pPr>
            <w:r>
              <w:rPr>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F53C4B7" w14:textId="77777777" w:rsidR="00D34E66" w:rsidRDefault="00D34E66">
            <w:pPr>
              <w:tabs>
                <w:tab w:val="left" w:pos="272"/>
              </w:tabs>
              <w:spacing w:line="256" w:lineRule="auto"/>
              <w:jc w:val="both"/>
              <w:rPr>
                <w:lang w:eastAsia="en-US"/>
              </w:rPr>
            </w:pPr>
            <w:r>
              <w:rPr>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4BAEAE52" w14:textId="77777777" w:rsidR="00D34E66" w:rsidRDefault="00D34E66">
            <w:pPr>
              <w:tabs>
                <w:tab w:val="left" w:pos="272"/>
              </w:tabs>
              <w:spacing w:line="256" w:lineRule="auto"/>
              <w:jc w:val="both"/>
              <w:rPr>
                <w:lang w:eastAsia="en-US"/>
              </w:rPr>
            </w:pPr>
            <w:r>
              <w:rPr>
                <w:lang w:eastAsia="en-US"/>
              </w:rPr>
              <w:t>- отсутствия по месту регистрации Нового кредитора исков о взыскании, заявлений имущественного характера;</w:t>
            </w:r>
          </w:p>
          <w:p w14:paraId="076253CA" w14:textId="77777777" w:rsidR="00D34E66" w:rsidRDefault="00D34E66">
            <w:pPr>
              <w:tabs>
                <w:tab w:val="left" w:pos="272"/>
              </w:tabs>
              <w:spacing w:line="256" w:lineRule="auto"/>
              <w:jc w:val="both"/>
              <w:rPr>
                <w:lang w:eastAsia="en-US"/>
              </w:rPr>
            </w:pPr>
            <w:r>
              <w:rPr>
                <w:lang w:eastAsia="en-US"/>
              </w:rPr>
              <w:t xml:space="preserve">- отсутствия иных </w:t>
            </w:r>
            <w:proofErr w:type="spellStart"/>
            <w:r>
              <w:rPr>
                <w:lang w:eastAsia="en-US"/>
              </w:rPr>
              <w:t>правопритязаний</w:t>
            </w:r>
            <w:proofErr w:type="spellEnd"/>
            <w:r>
              <w:rPr>
                <w:lang w:eastAsia="en-US"/>
              </w:rPr>
              <w:t xml:space="preserve"> третьих лиц к Новому кредитору;</w:t>
            </w:r>
          </w:p>
          <w:p w14:paraId="6235113F" w14:textId="77777777" w:rsidR="00D34E66" w:rsidRDefault="00D34E66">
            <w:pPr>
              <w:tabs>
                <w:tab w:val="left" w:pos="272"/>
              </w:tabs>
              <w:spacing w:line="256" w:lineRule="auto"/>
              <w:jc w:val="both"/>
              <w:rPr>
                <w:lang w:eastAsia="en-US"/>
              </w:rPr>
            </w:pPr>
            <w:r>
              <w:rPr>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8E385D0" w14:textId="77777777" w:rsidR="00D34E66" w:rsidRDefault="00D34E66">
            <w:pPr>
              <w:tabs>
                <w:tab w:val="left" w:pos="272"/>
              </w:tabs>
              <w:spacing w:line="256" w:lineRule="auto"/>
              <w:jc w:val="both"/>
              <w:rPr>
                <w:lang w:eastAsia="en-US"/>
              </w:rPr>
            </w:pPr>
            <w:r>
              <w:rPr>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B9153EE" w14:textId="77777777" w:rsidR="00D34E66" w:rsidRDefault="00D34E66">
            <w:pPr>
              <w:tabs>
                <w:tab w:val="left" w:pos="272"/>
              </w:tabs>
              <w:spacing w:line="256" w:lineRule="auto"/>
              <w:jc w:val="both"/>
              <w:rPr>
                <w:lang w:eastAsia="en-US"/>
              </w:rPr>
            </w:pPr>
            <w:r>
              <w:rPr>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14DA35B" w14:textId="77777777" w:rsidR="00D34E66" w:rsidRDefault="00D34E66">
            <w:pPr>
              <w:tabs>
                <w:tab w:val="left" w:pos="272"/>
              </w:tabs>
              <w:spacing w:line="256" w:lineRule="auto"/>
              <w:jc w:val="both"/>
              <w:rPr>
                <w:lang w:eastAsia="en-US"/>
              </w:rPr>
            </w:pPr>
            <w:r>
              <w:rPr>
                <w:lang w:eastAsia="en-US"/>
              </w:rPr>
              <w:t>3. Общие требования:</w:t>
            </w:r>
          </w:p>
          <w:p w14:paraId="2A80C85B" w14:textId="77777777" w:rsidR="00D34E66" w:rsidRDefault="00D34E66">
            <w:pPr>
              <w:tabs>
                <w:tab w:val="left" w:pos="272"/>
              </w:tabs>
              <w:spacing w:line="256" w:lineRule="auto"/>
              <w:jc w:val="both"/>
              <w:rPr>
                <w:lang w:eastAsia="en-US"/>
              </w:rPr>
            </w:pPr>
            <w:r>
              <w:rPr>
                <w:lang w:eastAsia="en-US"/>
              </w:rPr>
              <w:t>3.1. Отсутствие у Нового кредитора ссудной задолженности перед Кредитором.</w:t>
            </w:r>
          </w:p>
          <w:p w14:paraId="29930CEC" w14:textId="77777777" w:rsidR="00D34E66" w:rsidRDefault="00D34E66">
            <w:pPr>
              <w:tabs>
                <w:tab w:val="left" w:pos="272"/>
              </w:tabs>
              <w:spacing w:line="256" w:lineRule="auto"/>
              <w:jc w:val="both"/>
              <w:rPr>
                <w:lang w:eastAsia="en-US"/>
              </w:rPr>
            </w:pPr>
            <w:r>
              <w:rPr>
                <w:lang w:eastAsia="en-US"/>
              </w:rPr>
              <w:t xml:space="preserve">3.2. Отсутствие в отношении Нового кредитора/ лица, предоставляющего </w:t>
            </w:r>
            <w:proofErr w:type="spellStart"/>
            <w:r>
              <w:rPr>
                <w:lang w:eastAsia="en-US"/>
              </w:rPr>
              <w:t>займ</w:t>
            </w:r>
            <w:proofErr w:type="spellEnd"/>
            <w:r>
              <w:rPr>
                <w:lang w:eastAsia="en-US"/>
              </w:rPr>
              <w:t>(-ы) Новому кредитору:</w:t>
            </w:r>
          </w:p>
          <w:p w14:paraId="0963869D" w14:textId="77777777" w:rsidR="00D34E66" w:rsidRDefault="00D34E66">
            <w:pPr>
              <w:tabs>
                <w:tab w:val="left" w:pos="272"/>
              </w:tabs>
              <w:spacing w:line="256" w:lineRule="auto"/>
              <w:jc w:val="both"/>
              <w:rPr>
                <w:lang w:eastAsia="en-US"/>
              </w:rPr>
            </w:pPr>
            <w:r>
              <w:rPr>
                <w:lang w:eastAsia="en-US"/>
              </w:rPr>
              <w:t>- негативной информации;</w:t>
            </w:r>
          </w:p>
          <w:p w14:paraId="4A2FF672" w14:textId="77777777" w:rsidR="00D34E66" w:rsidRDefault="00D34E66">
            <w:pPr>
              <w:tabs>
                <w:tab w:val="left" w:pos="272"/>
              </w:tabs>
              <w:spacing w:line="256" w:lineRule="auto"/>
              <w:jc w:val="both"/>
              <w:rPr>
                <w:lang w:eastAsia="en-US"/>
              </w:rPr>
            </w:pPr>
            <w:r>
              <w:rPr>
                <w:lang w:eastAsia="en-US"/>
              </w:rPr>
              <w:t xml:space="preserve">- данных об аффилированности Нового кредитора/ лица, предоставляющего Новому кредитору </w:t>
            </w:r>
            <w:proofErr w:type="spellStart"/>
            <w:r>
              <w:rPr>
                <w:lang w:eastAsia="en-US"/>
              </w:rPr>
              <w:t>займ</w:t>
            </w:r>
            <w:proofErr w:type="spellEnd"/>
            <w:r>
              <w:rPr>
                <w:lang w:eastAsia="en-US"/>
              </w:rPr>
              <w:t>(-ы), к Должникам, Кредитору.</w:t>
            </w:r>
          </w:p>
          <w:p w14:paraId="2D0E6335" w14:textId="77777777" w:rsidR="00D34E66" w:rsidRDefault="00D34E66">
            <w:pPr>
              <w:tabs>
                <w:tab w:val="left" w:pos="272"/>
              </w:tabs>
              <w:spacing w:line="256" w:lineRule="auto"/>
              <w:jc w:val="both"/>
              <w:rPr>
                <w:lang w:eastAsia="en-US"/>
              </w:rPr>
            </w:pPr>
            <w:r>
              <w:rPr>
                <w:lang w:eastAsia="en-US"/>
              </w:rPr>
              <w:t>Подтверждается службой безопасности Филиала.</w:t>
            </w:r>
          </w:p>
          <w:p w14:paraId="1C00C265" w14:textId="77777777" w:rsidR="00D34E66" w:rsidRDefault="00D34E66">
            <w:pPr>
              <w:widowControl w:val="0"/>
              <w:spacing w:line="256" w:lineRule="auto"/>
              <w:ind w:firstLine="33"/>
              <w:jc w:val="both"/>
              <w:rPr>
                <w:rFonts w:eastAsia="Calibri"/>
                <w:lang w:eastAsia="en-US"/>
              </w:rPr>
            </w:pPr>
            <w:r>
              <w:rPr>
                <w:lang w:eastAsia="en-US"/>
              </w:rPr>
              <w:t>3.3. Отсутствие в числе аффилированных Новому кредитору лиц заемщиков Кредитора.</w:t>
            </w:r>
          </w:p>
        </w:tc>
      </w:tr>
      <w:tr w:rsidR="00D34E66" w14:paraId="7925F6BD"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62BA5147"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20CD06E2" w14:textId="77777777" w:rsidR="00D34E66" w:rsidRDefault="00D34E66">
            <w:pPr>
              <w:autoSpaceDE w:val="0"/>
              <w:autoSpaceDN w:val="0"/>
              <w:adjustRightInd w:val="0"/>
              <w:spacing w:line="256" w:lineRule="auto"/>
              <w:jc w:val="both"/>
              <w:rPr>
                <w:lang w:eastAsia="en-US"/>
              </w:rPr>
            </w:pPr>
            <w:r>
              <w:rPr>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748DC9C4" w14:textId="77777777" w:rsidR="00D34E66" w:rsidRDefault="00D34E66">
            <w:pPr>
              <w:autoSpaceDE w:val="0"/>
              <w:autoSpaceDN w:val="0"/>
              <w:adjustRightInd w:val="0"/>
              <w:spacing w:line="256" w:lineRule="auto"/>
              <w:jc w:val="both"/>
              <w:rPr>
                <w:lang w:eastAsia="en-US"/>
              </w:rPr>
            </w:pPr>
            <w:r>
              <w:rPr>
                <w:lang w:eastAsia="en-US"/>
              </w:rPr>
              <w:t>Организатор торгов отказывает Заявителю в приеме и регистрации Заявки на участие в Торговых процедурах в следующих случаях:</w:t>
            </w:r>
          </w:p>
          <w:p w14:paraId="7E8250D8" w14:textId="77777777" w:rsidR="00D34E66" w:rsidRDefault="00D34E66">
            <w:pPr>
              <w:autoSpaceDE w:val="0"/>
              <w:autoSpaceDN w:val="0"/>
              <w:adjustRightInd w:val="0"/>
              <w:spacing w:line="256" w:lineRule="auto"/>
              <w:jc w:val="both"/>
              <w:rPr>
                <w:lang w:eastAsia="en-US"/>
              </w:rPr>
            </w:pPr>
            <w:r>
              <w:rPr>
                <w:lang w:eastAsia="en-US"/>
              </w:rPr>
              <w:t>-Заявка на участие в Торговой процедуре подана по истечении срока приема заявок на участие в торгах, указанного в Извещении;</w:t>
            </w:r>
          </w:p>
          <w:p w14:paraId="68647D5B" w14:textId="77777777" w:rsidR="00D34E66" w:rsidRDefault="00D34E66">
            <w:pPr>
              <w:autoSpaceDE w:val="0"/>
              <w:autoSpaceDN w:val="0"/>
              <w:adjustRightInd w:val="0"/>
              <w:spacing w:line="256" w:lineRule="auto"/>
              <w:jc w:val="both"/>
              <w:rPr>
                <w:lang w:eastAsia="en-US"/>
              </w:rPr>
            </w:pPr>
            <w:r>
              <w:rPr>
                <w:lang w:eastAsia="en-US"/>
              </w:rPr>
              <w:t>-Заявка на участие в Торговой процедуре подана лицом, не уполномоченным действовать от имени Заявителя;</w:t>
            </w:r>
          </w:p>
          <w:p w14:paraId="7229F4E1" w14:textId="77777777" w:rsidR="00D34E66" w:rsidRDefault="00D34E66">
            <w:pPr>
              <w:autoSpaceDE w:val="0"/>
              <w:autoSpaceDN w:val="0"/>
              <w:adjustRightInd w:val="0"/>
              <w:spacing w:line="256" w:lineRule="auto"/>
              <w:jc w:val="both"/>
              <w:rPr>
                <w:lang w:eastAsia="en-US"/>
              </w:rPr>
            </w:pPr>
            <w:r>
              <w:rPr>
                <w:lang w:eastAsia="en-US"/>
              </w:rPr>
              <w:t>-не представлены документы, перечисленные в Извещении;</w:t>
            </w:r>
          </w:p>
          <w:p w14:paraId="4EA4605C" w14:textId="77777777" w:rsidR="00D34E66" w:rsidRDefault="00D34E66">
            <w:pPr>
              <w:autoSpaceDE w:val="0"/>
              <w:autoSpaceDN w:val="0"/>
              <w:adjustRightInd w:val="0"/>
              <w:spacing w:line="256" w:lineRule="auto"/>
              <w:jc w:val="both"/>
              <w:rPr>
                <w:lang w:eastAsia="en-US"/>
              </w:rPr>
            </w:pPr>
            <w:r>
              <w:rPr>
                <w:lang w:eastAsia="en-US"/>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31196BF" w14:textId="77777777" w:rsidR="00D34E66" w:rsidRDefault="00D34E66">
            <w:pPr>
              <w:autoSpaceDE w:val="0"/>
              <w:autoSpaceDN w:val="0"/>
              <w:adjustRightInd w:val="0"/>
              <w:spacing w:line="256" w:lineRule="auto"/>
              <w:jc w:val="both"/>
              <w:rPr>
                <w:lang w:eastAsia="en-US"/>
              </w:rPr>
            </w:pPr>
            <w:r>
              <w:rPr>
                <w:lang w:eastAsia="en-US"/>
              </w:rPr>
              <w:t>-поступление задатка на один из счетов, указанных в Извещении, не подтверждено на момент завершения периода приема задатков;</w:t>
            </w:r>
          </w:p>
          <w:p w14:paraId="24D0D164" w14:textId="77777777" w:rsidR="00D34E66" w:rsidRDefault="00D34E66">
            <w:pPr>
              <w:autoSpaceDE w:val="0"/>
              <w:autoSpaceDN w:val="0"/>
              <w:adjustRightInd w:val="0"/>
              <w:spacing w:line="256" w:lineRule="auto"/>
              <w:jc w:val="both"/>
              <w:rPr>
                <w:lang w:eastAsia="en-US"/>
              </w:rPr>
            </w:pPr>
            <w:r>
              <w:rPr>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9FD9F0C" w14:textId="735EC75B" w:rsidR="00D34E66" w:rsidRDefault="00D34E66">
            <w:pPr>
              <w:autoSpaceDE w:val="0"/>
              <w:autoSpaceDN w:val="0"/>
              <w:adjustRightInd w:val="0"/>
              <w:spacing w:line="256" w:lineRule="auto"/>
              <w:jc w:val="both"/>
              <w:rPr>
                <w:lang w:eastAsia="en-US"/>
              </w:rPr>
            </w:pPr>
            <w:r>
              <w:rPr>
                <w:lang w:eastAsia="en-US"/>
              </w:rPr>
              <w:t xml:space="preserve">-финансовое состояние Заявителя будет признано Банком неудовлетворяющим требованиям Банка к покупателю </w:t>
            </w:r>
            <w:r w:rsidR="00550944">
              <w:rPr>
                <w:lang w:eastAsia="en-US"/>
              </w:rPr>
              <w:t>имущества</w:t>
            </w:r>
            <w:r>
              <w:rPr>
                <w:lang w:eastAsia="en-US"/>
              </w:rPr>
              <w:t xml:space="preserve">; </w:t>
            </w:r>
          </w:p>
          <w:p w14:paraId="11CB98A2" w14:textId="77777777" w:rsidR="00D34E66" w:rsidRDefault="00D34E66">
            <w:pPr>
              <w:autoSpaceDE w:val="0"/>
              <w:autoSpaceDN w:val="0"/>
              <w:adjustRightInd w:val="0"/>
              <w:spacing w:line="256" w:lineRule="auto"/>
              <w:jc w:val="both"/>
              <w:rPr>
                <w:lang w:eastAsia="en-US"/>
              </w:rPr>
            </w:pPr>
            <w:r>
              <w:rPr>
                <w:lang w:eastAsia="en-US"/>
              </w:rPr>
              <w:t xml:space="preserve">-выявления негативной информации в отношении Заявителя/лица, предоставляющего </w:t>
            </w:r>
            <w:proofErr w:type="spellStart"/>
            <w:r>
              <w:rPr>
                <w:lang w:eastAsia="en-US"/>
              </w:rPr>
              <w:t>займ</w:t>
            </w:r>
            <w:proofErr w:type="spellEnd"/>
            <w:r>
              <w:rPr>
                <w:lang w:eastAsia="en-US"/>
              </w:rPr>
              <w:t xml:space="preserve"> (-ы) Заявителю;</w:t>
            </w:r>
          </w:p>
          <w:p w14:paraId="4AAB2956" w14:textId="77777777" w:rsidR="00D34E66" w:rsidRDefault="00D34E66">
            <w:pPr>
              <w:autoSpaceDE w:val="0"/>
              <w:autoSpaceDN w:val="0"/>
              <w:adjustRightInd w:val="0"/>
              <w:spacing w:line="256" w:lineRule="auto"/>
              <w:jc w:val="both"/>
              <w:rPr>
                <w:lang w:eastAsia="en-US"/>
              </w:rPr>
            </w:pPr>
            <w:r>
              <w:rPr>
                <w:lang w:eastAsia="en-US"/>
              </w:rPr>
              <w:lastRenderedPageBreak/>
              <w:t xml:space="preserve">-выявление признаков аффилированности Заявителя/ лица, предоставляющего </w:t>
            </w:r>
            <w:proofErr w:type="spellStart"/>
            <w:r>
              <w:rPr>
                <w:lang w:eastAsia="en-US"/>
              </w:rPr>
              <w:t>займ</w:t>
            </w:r>
            <w:proofErr w:type="spellEnd"/>
            <w:r>
              <w:rPr>
                <w:lang w:eastAsia="en-US"/>
              </w:rPr>
              <w:t xml:space="preserve"> (-ы) Заявителя к Банку, Должникам;</w:t>
            </w:r>
          </w:p>
          <w:p w14:paraId="235DA1B5" w14:textId="77777777" w:rsidR="00D34E66" w:rsidRDefault="00D34E66">
            <w:pPr>
              <w:autoSpaceDE w:val="0"/>
              <w:autoSpaceDN w:val="0"/>
              <w:adjustRightInd w:val="0"/>
              <w:spacing w:line="256" w:lineRule="auto"/>
              <w:jc w:val="both"/>
              <w:rPr>
                <w:lang w:eastAsia="en-US"/>
              </w:rPr>
            </w:pPr>
            <w:r>
              <w:rPr>
                <w:lang w:eastAsia="en-US"/>
              </w:rPr>
              <w:t>-выявление в числе аффилированных Заявителю лиц-заемщиков Кредитора;</w:t>
            </w:r>
          </w:p>
          <w:p w14:paraId="5A1171F2" w14:textId="77777777" w:rsidR="00D34E66" w:rsidRDefault="00D34E66">
            <w:pPr>
              <w:autoSpaceDE w:val="0"/>
              <w:autoSpaceDN w:val="0"/>
              <w:adjustRightInd w:val="0"/>
              <w:spacing w:line="256" w:lineRule="auto"/>
              <w:jc w:val="both"/>
              <w:rPr>
                <w:lang w:eastAsia="en-US"/>
              </w:rPr>
            </w:pPr>
            <w:r>
              <w:rPr>
                <w:lang w:eastAsia="en-US"/>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6A4D3EE8" w14:textId="77777777" w:rsidR="00D34E66" w:rsidRDefault="00D34E66">
            <w:pPr>
              <w:autoSpaceDE w:val="0"/>
              <w:autoSpaceDN w:val="0"/>
              <w:adjustRightInd w:val="0"/>
              <w:spacing w:line="256" w:lineRule="auto"/>
              <w:jc w:val="both"/>
              <w:rPr>
                <w:lang w:eastAsia="en-US"/>
              </w:rPr>
            </w:pPr>
            <w:r>
              <w:rPr>
                <w:lang w:eastAsia="en-US"/>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0733CFF" w14:textId="77777777" w:rsidR="00D34E66" w:rsidRDefault="00D34E66">
            <w:pPr>
              <w:autoSpaceDE w:val="0"/>
              <w:autoSpaceDN w:val="0"/>
              <w:adjustRightInd w:val="0"/>
              <w:spacing w:line="256" w:lineRule="auto"/>
              <w:jc w:val="both"/>
              <w:rPr>
                <w:lang w:eastAsia="en-US"/>
              </w:rPr>
            </w:pPr>
            <w:r>
              <w:rPr>
                <w:lang w:eastAsia="en-US"/>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FF7DFFF" w14:textId="77777777" w:rsidR="00D34E66" w:rsidRDefault="00D34E66">
            <w:pPr>
              <w:autoSpaceDE w:val="0"/>
              <w:autoSpaceDN w:val="0"/>
              <w:adjustRightInd w:val="0"/>
              <w:spacing w:line="256" w:lineRule="auto"/>
              <w:jc w:val="both"/>
              <w:rPr>
                <w:lang w:eastAsia="en-US"/>
              </w:rPr>
            </w:pPr>
            <w:r>
              <w:rPr>
                <w:lang w:eastAsia="en-US"/>
              </w:rPr>
              <w:t>-выявления информации о незавершенной реорганизации и процедуре ликвидации Заявителя.</w:t>
            </w:r>
          </w:p>
          <w:p w14:paraId="73591FE9" w14:textId="77777777" w:rsidR="00D34E66" w:rsidRDefault="00D34E66">
            <w:pPr>
              <w:autoSpaceDE w:val="0"/>
              <w:autoSpaceDN w:val="0"/>
              <w:adjustRightInd w:val="0"/>
              <w:spacing w:line="256" w:lineRule="auto"/>
              <w:jc w:val="both"/>
              <w:rPr>
                <w:lang w:eastAsia="en-US"/>
              </w:rPr>
            </w:pPr>
            <w:r>
              <w:rPr>
                <w:lang w:eastAsia="en-US"/>
              </w:rPr>
              <w:t>-выявления в отношении Заявителя – физического лица возбужденных исполнительных производств на сумму более 100 000 рублей.</w:t>
            </w:r>
          </w:p>
          <w:p w14:paraId="3D2A2B86" w14:textId="77777777" w:rsidR="00D34E66" w:rsidRDefault="00D34E66">
            <w:pPr>
              <w:autoSpaceDE w:val="0"/>
              <w:autoSpaceDN w:val="0"/>
              <w:adjustRightInd w:val="0"/>
              <w:spacing w:line="256" w:lineRule="auto"/>
              <w:jc w:val="both"/>
              <w:rPr>
                <w:lang w:eastAsia="en-US"/>
              </w:rPr>
            </w:pPr>
            <w:r>
              <w:rPr>
                <w:lang w:eastAsia="en-US"/>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15D49384" w14:textId="77777777" w:rsidR="00D34E66" w:rsidRDefault="00D34E66">
            <w:pPr>
              <w:autoSpaceDE w:val="0"/>
              <w:autoSpaceDN w:val="0"/>
              <w:adjustRightInd w:val="0"/>
              <w:spacing w:line="256" w:lineRule="auto"/>
              <w:jc w:val="both"/>
              <w:rPr>
                <w:lang w:eastAsia="en-US"/>
              </w:rPr>
            </w:pPr>
            <w:r>
              <w:rPr>
                <w:lang w:eastAsia="en-US"/>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72BEEA5" w14:textId="77777777" w:rsidR="00D34E66" w:rsidRDefault="00D34E66">
            <w:pPr>
              <w:autoSpaceDE w:val="0"/>
              <w:autoSpaceDN w:val="0"/>
              <w:adjustRightInd w:val="0"/>
              <w:spacing w:line="256" w:lineRule="auto"/>
              <w:jc w:val="both"/>
              <w:rPr>
                <w:lang w:eastAsia="en-US"/>
              </w:rPr>
            </w:pPr>
            <w:r>
              <w:rPr>
                <w:lang w:eastAsia="en-US"/>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0B6EF28E" w14:textId="77777777" w:rsidR="00D34E66" w:rsidRDefault="00D34E66">
            <w:pPr>
              <w:autoSpaceDE w:val="0"/>
              <w:autoSpaceDN w:val="0"/>
              <w:adjustRightInd w:val="0"/>
              <w:spacing w:line="256" w:lineRule="auto"/>
              <w:jc w:val="both"/>
              <w:rPr>
                <w:lang w:eastAsia="en-US"/>
              </w:rPr>
            </w:pPr>
            <w:r>
              <w:rPr>
                <w:lang w:eastAsia="en-US"/>
              </w:rPr>
              <w:t xml:space="preserve">-выявления в отношении Заявителя – физического лица иных </w:t>
            </w:r>
            <w:proofErr w:type="spellStart"/>
            <w:r>
              <w:rPr>
                <w:lang w:eastAsia="en-US"/>
              </w:rPr>
              <w:t>правопритязаний</w:t>
            </w:r>
            <w:proofErr w:type="spellEnd"/>
            <w:r>
              <w:rPr>
                <w:lang w:eastAsia="en-US"/>
              </w:rPr>
              <w:t xml:space="preserve"> третьих лиц к Заявителю;</w:t>
            </w:r>
          </w:p>
          <w:p w14:paraId="3A5BF76B" w14:textId="77777777" w:rsidR="00D34E66" w:rsidRDefault="00D34E66">
            <w:pPr>
              <w:autoSpaceDE w:val="0"/>
              <w:autoSpaceDN w:val="0"/>
              <w:adjustRightInd w:val="0"/>
              <w:spacing w:line="256" w:lineRule="auto"/>
              <w:jc w:val="both"/>
              <w:rPr>
                <w:lang w:eastAsia="en-US"/>
              </w:rPr>
            </w:pPr>
            <w:r>
              <w:rPr>
                <w:lang w:eastAsia="en-US"/>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52FA8CC" w14:textId="77777777" w:rsidR="00D34E66" w:rsidRDefault="00D34E66">
            <w:pPr>
              <w:autoSpaceDE w:val="0"/>
              <w:autoSpaceDN w:val="0"/>
              <w:adjustRightInd w:val="0"/>
              <w:spacing w:line="256" w:lineRule="auto"/>
              <w:jc w:val="both"/>
              <w:rPr>
                <w:lang w:eastAsia="en-US"/>
              </w:rPr>
            </w:pPr>
            <w:r>
              <w:rPr>
                <w:lang w:eastAsia="en-US"/>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06B8DA6" w14:textId="77777777" w:rsidR="00D34E66" w:rsidRDefault="00D34E66">
            <w:pPr>
              <w:tabs>
                <w:tab w:val="left" w:pos="272"/>
              </w:tabs>
              <w:spacing w:line="256" w:lineRule="auto"/>
              <w:jc w:val="both"/>
              <w:rPr>
                <w:lang w:eastAsia="en-US"/>
              </w:rPr>
            </w:pPr>
            <w:r>
              <w:rPr>
                <w:lang w:eastAsia="en-US"/>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D34E66" w14:paraId="56F8E866"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40779DE8"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lastRenderedPageBreak/>
              <w:t xml:space="preserve">Критерии определения Победителя торговой процедуры в форме аукциона </w:t>
            </w:r>
            <w:r>
              <w:rPr>
                <w:rFonts w:eastAsia="Calibri"/>
                <w:b/>
                <w:lang w:eastAsia="en-US"/>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47F1A0D3" w14:textId="5F883A8B" w:rsidR="00D34E66" w:rsidRPr="00550944" w:rsidRDefault="00D34E66">
            <w:pPr>
              <w:pStyle w:val="a6"/>
              <w:tabs>
                <w:tab w:val="left" w:pos="426"/>
                <w:tab w:val="left" w:pos="1560"/>
              </w:tabs>
              <w:suppressAutoHyphens/>
              <w:autoSpaceDE w:val="0"/>
              <w:autoSpaceDN w:val="0"/>
              <w:adjustRightInd w:val="0"/>
              <w:spacing w:line="256" w:lineRule="auto"/>
              <w:ind w:left="0"/>
              <w:jc w:val="both"/>
              <w:outlineLvl w:val="1"/>
              <w:rPr>
                <w:sz w:val="20"/>
                <w:szCs w:val="20"/>
                <w:lang w:eastAsia="en-US"/>
              </w:rPr>
            </w:pPr>
            <w:r w:rsidRPr="00550944">
              <w:rPr>
                <w:sz w:val="20"/>
                <w:szCs w:val="20"/>
                <w:lang w:eastAsia="en-US"/>
              </w:rPr>
              <w:t xml:space="preserve">Победителем признается участник аукциона, предложивший наиболее высокую цену за </w:t>
            </w:r>
            <w:r w:rsidR="00550944" w:rsidRPr="00550944">
              <w:rPr>
                <w:sz w:val="20"/>
                <w:szCs w:val="20"/>
                <w:lang w:eastAsia="en-US"/>
              </w:rPr>
              <w:t xml:space="preserve">имущество </w:t>
            </w:r>
            <w:r w:rsidRPr="00550944">
              <w:rPr>
                <w:sz w:val="20"/>
                <w:szCs w:val="20"/>
                <w:lang w:eastAsia="en-US"/>
              </w:rPr>
              <w:t>Банка.</w:t>
            </w:r>
          </w:p>
          <w:p w14:paraId="1BB3ACCD" w14:textId="32365AFD" w:rsidR="00D34E66" w:rsidRDefault="00D34E66">
            <w:pPr>
              <w:tabs>
                <w:tab w:val="left" w:pos="272"/>
              </w:tabs>
              <w:spacing w:line="256" w:lineRule="auto"/>
              <w:jc w:val="both"/>
              <w:rPr>
                <w:lang w:eastAsia="en-US"/>
              </w:rPr>
            </w:pPr>
            <w:r>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550944">
              <w:rPr>
                <w:rFonts w:eastAsia="Calibri"/>
                <w:bCs/>
                <w:lang w:eastAsia="en-US"/>
              </w:rPr>
              <w:t xml:space="preserve">купли-продажи </w:t>
            </w:r>
            <w:r>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D34E66" w14:paraId="6E529FE6"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25F8662D" w14:textId="08A76308" w:rsidR="00D34E66" w:rsidRDefault="00D34E66">
            <w:pPr>
              <w:autoSpaceDE w:val="0"/>
              <w:autoSpaceDN w:val="0"/>
              <w:adjustRightInd w:val="0"/>
              <w:spacing w:line="256" w:lineRule="auto"/>
              <w:jc w:val="both"/>
              <w:rPr>
                <w:rFonts w:eastAsia="Calibri"/>
                <w:lang w:eastAsia="en-US"/>
              </w:rPr>
            </w:pPr>
            <w:r>
              <w:rPr>
                <w:rFonts w:eastAsia="Calibri"/>
                <w:lang w:eastAsia="en-US"/>
              </w:rPr>
              <w:t xml:space="preserve">Порядок заключения договора </w:t>
            </w:r>
            <w:r w:rsidR="00550944">
              <w:rPr>
                <w:rFonts w:eastAsia="Calibri"/>
                <w:lang w:eastAsia="en-US"/>
              </w:rPr>
              <w:t>купли-продажи</w:t>
            </w:r>
          </w:p>
        </w:tc>
        <w:tc>
          <w:tcPr>
            <w:tcW w:w="7051" w:type="dxa"/>
            <w:tcBorders>
              <w:top w:val="single" w:sz="4" w:space="0" w:color="auto"/>
              <w:left w:val="single" w:sz="4" w:space="0" w:color="auto"/>
              <w:bottom w:val="single" w:sz="4" w:space="0" w:color="auto"/>
              <w:right w:val="single" w:sz="4" w:space="0" w:color="auto"/>
            </w:tcBorders>
            <w:hideMark/>
          </w:tcPr>
          <w:p w14:paraId="45748D03" w14:textId="77777777" w:rsidR="00D34E66" w:rsidRDefault="00D34E66">
            <w:pPr>
              <w:autoSpaceDE w:val="0"/>
              <w:autoSpaceDN w:val="0"/>
              <w:adjustRightInd w:val="0"/>
              <w:spacing w:line="256" w:lineRule="auto"/>
              <w:jc w:val="both"/>
              <w:rPr>
                <w:lang w:eastAsia="en-US"/>
              </w:rPr>
            </w:pPr>
            <w:r>
              <w:rPr>
                <w:lang w:eastAsia="en-US"/>
              </w:rPr>
              <w:t xml:space="preserve">Заключение договора реализации 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позднее 8 (Восьми) рабочих дней со дня подписания протокола об итогах торгов. </w:t>
            </w:r>
          </w:p>
          <w:p w14:paraId="23527C91" w14:textId="77777777" w:rsidR="00D34E66" w:rsidRDefault="00D34E66">
            <w:pPr>
              <w:autoSpaceDE w:val="0"/>
              <w:autoSpaceDN w:val="0"/>
              <w:adjustRightInd w:val="0"/>
              <w:spacing w:line="256" w:lineRule="auto"/>
              <w:jc w:val="both"/>
              <w:rPr>
                <w:lang w:eastAsia="en-US"/>
              </w:rPr>
            </w:pPr>
            <w:r>
              <w:rPr>
                <w:lang w:eastAsia="en-US"/>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w:t>
            </w:r>
            <w:r>
              <w:rPr>
                <w:lang w:eastAsia="en-US"/>
              </w:rPr>
              <w:lastRenderedPageBreak/>
              <w:t>и условиям, предусмотренной аукционной документацией по начальной цене реализации.</w:t>
            </w:r>
          </w:p>
          <w:p w14:paraId="2E817D4D" w14:textId="77777777" w:rsidR="00D34E66" w:rsidRDefault="00D34E66">
            <w:pPr>
              <w:autoSpaceDE w:val="0"/>
              <w:autoSpaceDN w:val="0"/>
              <w:adjustRightInd w:val="0"/>
              <w:spacing w:line="256" w:lineRule="auto"/>
              <w:jc w:val="both"/>
              <w:rPr>
                <w:lang w:eastAsia="en-US"/>
              </w:rPr>
            </w:pPr>
            <w:r>
              <w:rPr>
                <w:lang w:eastAsia="en-US"/>
              </w:rPr>
              <w:t xml:space="preserve">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38B0B669" w14:textId="77777777" w:rsidR="00D34E66" w:rsidRDefault="00D34E66">
            <w:pPr>
              <w:tabs>
                <w:tab w:val="left" w:pos="272"/>
              </w:tabs>
              <w:spacing w:line="256" w:lineRule="auto"/>
              <w:jc w:val="both"/>
              <w:rPr>
                <w:lang w:eastAsia="en-US"/>
              </w:rPr>
            </w:pPr>
            <w:r>
              <w:rPr>
                <w:lang w:eastAsia="en-US"/>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r w:rsidR="00D34E66" w14:paraId="4F3D68FF" w14:textId="77777777" w:rsidTr="00D34E66">
        <w:trPr>
          <w:trHeight w:val="684"/>
        </w:trPr>
        <w:tc>
          <w:tcPr>
            <w:tcW w:w="2554" w:type="dxa"/>
            <w:tcBorders>
              <w:top w:val="single" w:sz="4" w:space="0" w:color="auto"/>
              <w:left w:val="single" w:sz="4" w:space="0" w:color="auto"/>
              <w:bottom w:val="single" w:sz="4" w:space="0" w:color="auto"/>
              <w:right w:val="single" w:sz="4" w:space="0" w:color="auto"/>
            </w:tcBorders>
            <w:hideMark/>
          </w:tcPr>
          <w:p w14:paraId="72CD3EE0" w14:textId="77777777" w:rsidR="00D34E66" w:rsidRDefault="00D34E66">
            <w:pPr>
              <w:autoSpaceDE w:val="0"/>
              <w:autoSpaceDN w:val="0"/>
              <w:adjustRightInd w:val="0"/>
              <w:spacing w:line="256" w:lineRule="auto"/>
              <w:jc w:val="both"/>
              <w:rPr>
                <w:rFonts w:eastAsia="Calibri"/>
                <w:lang w:eastAsia="en-US"/>
              </w:rPr>
            </w:pPr>
            <w:r>
              <w:rPr>
                <w:rFonts w:eastAsia="Calibri"/>
                <w:lang w:eastAsia="en-US"/>
              </w:rPr>
              <w:lastRenderedPageBreak/>
              <w:t>Состав Комиссии Принципала по проведению Торговых процедур</w:t>
            </w:r>
          </w:p>
        </w:tc>
        <w:tc>
          <w:tcPr>
            <w:tcW w:w="7051" w:type="dxa"/>
            <w:tcBorders>
              <w:top w:val="single" w:sz="4" w:space="0" w:color="auto"/>
              <w:left w:val="single" w:sz="4" w:space="0" w:color="auto"/>
              <w:bottom w:val="single" w:sz="4" w:space="0" w:color="auto"/>
              <w:right w:val="single" w:sz="4" w:space="0" w:color="auto"/>
            </w:tcBorders>
            <w:hideMark/>
          </w:tcPr>
          <w:p w14:paraId="46F20F2F" w14:textId="77777777" w:rsidR="00D34E66" w:rsidRDefault="00D34E66">
            <w:pPr>
              <w:tabs>
                <w:tab w:val="left" w:pos="272"/>
              </w:tabs>
              <w:spacing w:line="256" w:lineRule="auto"/>
              <w:jc w:val="both"/>
              <w:rPr>
                <w:lang w:eastAsia="en-US"/>
              </w:rPr>
            </w:pPr>
            <w:r>
              <w:rPr>
                <w:rFonts w:eastAsia="Calibri"/>
                <w:lang w:eastAsia="en-US"/>
              </w:rPr>
              <w:t>В состав Комиссии по проведению Торговых процедур в обязательном порядке входят: Директор, Заместитель Директора, Начальник СРПЗФЛ, Ведущий специалист СРПЗФЛ, Главный специалист СБ Нижегородского РФ АО «Россельхозбанк».</w:t>
            </w:r>
          </w:p>
        </w:tc>
      </w:tr>
    </w:tbl>
    <w:p w14:paraId="2DEE74AF" w14:textId="77777777" w:rsidR="009B299D" w:rsidRDefault="009B299D" w:rsidP="00C470A9">
      <w:pPr>
        <w:rPr>
          <w:rFonts w:eastAsia="Calibri"/>
          <w:sz w:val="22"/>
          <w:szCs w:val="22"/>
          <w:lang w:eastAsia="en-US"/>
        </w:rPr>
      </w:pPr>
    </w:p>
    <w:p w14:paraId="718C5FF8" w14:textId="77777777" w:rsidR="00D33B46" w:rsidRDefault="00D33B46" w:rsidP="00D33B46"/>
    <w:p w14:paraId="314AAD4C" w14:textId="77777777" w:rsidR="00D33B46" w:rsidRDefault="00D33B46" w:rsidP="00D33B46"/>
    <w:p w14:paraId="18E70E5C" w14:textId="77777777" w:rsidR="00D33B46" w:rsidRDefault="00D33B46" w:rsidP="00D33B46"/>
    <w:p w14:paraId="731E996A" w14:textId="77777777" w:rsidR="00D33B46" w:rsidRDefault="00D33B46" w:rsidP="00D33B46"/>
    <w:p w14:paraId="68AB00F8" w14:textId="77777777" w:rsidR="009B299D" w:rsidRDefault="009B299D" w:rsidP="00C470A9">
      <w:pPr>
        <w:rPr>
          <w:rFonts w:eastAsia="Calibri"/>
          <w:sz w:val="22"/>
          <w:szCs w:val="22"/>
          <w:lang w:eastAsia="en-US"/>
        </w:rPr>
      </w:pPr>
    </w:p>
    <w:p w14:paraId="03511133" w14:textId="77777777" w:rsidR="009B299D" w:rsidRDefault="009B299D" w:rsidP="00C470A9">
      <w:pPr>
        <w:rPr>
          <w:rFonts w:eastAsia="Calibri"/>
          <w:sz w:val="22"/>
          <w:szCs w:val="22"/>
          <w:lang w:eastAsia="en-US"/>
        </w:rPr>
      </w:pPr>
    </w:p>
    <w:p w14:paraId="29FFA4F2" w14:textId="77777777" w:rsidR="007B0CC1" w:rsidRDefault="007B0CC1" w:rsidP="00C470A9">
      <w:pPr>
        <w:rPr>
          <w:rFonts w:eastAsia="Calibri"/>
          <w:sz w:val="22"/>
          <w:szCs w:val="22"/>
          <w:lang w:eastAsia="en-US"/>
        </w:rPr>
      </w:pPr>
    </w:p>
    <w:p w14:paraId="4F67A3D1" w14:textId="77777777" w:rsidR="007B0CC1" w:rsidRDefault="007B0CC1" w:rsidP="00C470A9">
      <w:pPr>
        <w:rPr>
          <w:rFonts w:eastAsia="Calibri"/>
          <w:sz w:val="22"/>
          <w:szCs w:val="22"/>
          <w:lang w:eastAsia="en-US"/>
        </w:rPr>
      </w:pPr>
    </w:p>
    <w:p w14:paraId="05D23BED" w14:textId="77777777" w:rsidR="000111BC" w:rsidRDefault="000111BC" w:rsidP="00C470A9">
      <w:pPr>
        <w:rPr>
          <w:rFonts w:eastAsia="Calibri"/>
          <w:sz w:val="22"/>
          <w:szCs w:val="22"/>
          <w:lang w:eastAsia="en-US"/>
        </w:rPr>
      </w:pPr>
    </w:p>
    <w:p w14:paraId="4DF9017B" w14:textId="77777777" w:rsidR="00D33B46" w:rsidRDefault="00D33B46" w:rsidP="00C470A9">
      <w:pPr>
        <w:rPr>
          <w:rFonts w:eastAsia="Calibri"/>
          <w:sz w:val="22"/>
          <w:szCs w:val="22"/>
          <w:lang w:eastAsia="en-US"/>
        </w:rPr>
      </w:pPr>
    </w:p>
    <w:p w14:paraId="67DFD22D" w14:textId="77777777" w:rsidR="00D33B46" w:rsidRDefault="00D33B46" w:rsidP="00C470A9">
      <w:pPr>
        <w:rPr>
          <w:rFonts w:eastAsia="Calibri"/>
          <w:sz w:val="22"/>
          <w:szCs w:val="22"/>
          <w:lang w:eastAsia="en-US"/>
        </w:rPr>
      </w:pPr>
    </w:p>
    <w:p w14:paraId="5881AF54" w14:textId="77777777" w:rsidR="00D33B46" w:rsidRDefault="00D33B46" w:rsidP="00C470A9">
      <w:pPr>
        <w:rPr>
          <w:rFonts w:eastAsia="Calibri"/>
          <w:sz w:val="22"/>
          <w:szCs w:val="22"/>
          <w:lang w:eastAsia="en-US"/>
        </w:rPr>
      </w:pPr>
    </w:p>
    <w:p w14:paraId="06C40E52" w14:textId="77777777" w:rsidR="00D33B46" w:rsidRDefault="00D33B46" w:rsidP="00C470A9">
      <w:pPr>
        <w:rPr>
          <w:rFonts w:eastAsia="Calibri"/>
          <w:sz w:val="22"/>
          <w:szCs w:val="22"/>
          <w:lang w:eastAsia="en-US"/>
        </w:rPr>
      </w:pPr>
    </w:p>
    <w:p w14:paraId="29C73751" w14:textId="77777777" w:rsidR="00D33B46" w:rsidRDefault="00D33B46" w:rsidP="00C470A9">
      <w:pPr>
        <w:rPr>
          <w:rFonts w:eastAsia="Calibri"/>
          <w:sz w:val="22"/>
          <w:szCs w:val="22"/>
          <w:lang w:eastAsia="en-US"/>
        </w:rPr>
      </w:pPr>
    </w:p>
    <w:p w14:paraId="11CB354E" w14:textId="77777777" w:rsidR="00D33B46" w:rsidRDefault="00D33B46" w:rsidP="00C470A9">
      <w:pPr>
        <w:rPr>
          <w:rFonts w:eastAsia="Calibri"/>
          <w:sz w:val="22"/>
          <w:szCs w:val="22"/>
          <w:lang w:eastAsia="en-US"/>
        </w:rPr>
      </w:pPr>
    </w:p>
    <w:p w14:paraId="1EA64BDD" w14:textId="77777777" w:rsidR="00D33B46" w:rsidRDefault="00D33B46" w:rsidP="00C470A9">
      <w:pPr>
        <w:rPr>
          <w:rFonts w:eastAsia="Calibri"/>
          <w:sz w:val="22"/>
          <w:szCs w:val="22"/>
          <w:lang w:eastAsia="en-US"/>
        </w:rPr>
      </w:pPr>
    </w:p>
    <w:p w14:paraId="12717E44" w14:textId="77777777" w:rsidR="00D33B46" w:rsidRDefault="00D33B46" w:rsidP="00C470A9">
      <w:pPr>
        <w:rPr>
          <w:rFonts w:eastAsia="Calibri"/>
          <w:sz w:val="22"/>
          <w:szCs w:val="22"/>
          <w:lang w:eastAsia="en-US"/>
        </w:rPr>
      </w:pPr>
    </w:p>
    <w:p w14:paraId="1FF9B167" w14:textId="77777777" w:rsidR="00D33B46" w:rsidRDefault="00D33B46" w:rsidP="00C470A9">
      <w:pPr>
        <w:rPr>
          <w:rFonts w:eastAsia="Calibri"/>
          <w:sz w:val="22"/>
          <w:szCs w:val="22"/>
          <w:lang w:eastAsia="en-US"/>
        </w:rPr>
      </w:pPr>
    </w:p>
    <w:p w14:paraId="24406973" w14:textId="77777777" w:rsidR="00D33B46" w:rsidRDefault="00D33B46" w:rsidP="00C470A9">
      <w:pPr>
        <w:rPr>
          <w:rFonts w:eastAsia="Calibri"/>
          <w:sz w:val="22"/>
          <w:szCs w:val="22"/>
          <w:lang w:eastAsia="en-US"/>
        </w:rPr>
      </w:pPr>
    </w:p>
    <w:p w14:paraId="456A668A" w14:textId="77777777" w:rsidR="00D33B46" w:rsidRDefault="00D33B46" w:rsidP="00C470A9">
      <w:pPr>
        <w:rPr>
          <w:rFonts w:eastAsia="Calibri"/>
          <w:sz w:val="22"/>
          <w:szCs w:val="22"/>
          <w:lang w:eastAsia="en-US"/>
        </w:rPr>
      </w:pPr>
    </w:p>
    <w:p w14:paraId="1739CF08" w14:textId="77777777" w:rsidR="00D33B46" w:rsidRDefault="00D33B46" w:rsidP="00C470A9">
      <w:pPr>
        <w:rPr>
          <w:rFonts w:eastAsia="Calibri"/>
          <w:sz w:val="22"/>
          <w:szCs w:val="22"/>
          <w:lang w:eastAsia="en-US"/>
        </w:rPr>
      </w:pPr>
    </w:p>
    <w:p w14:paraId="59C4DECF" w14:textId="77777777" w:rsidR="00D33B46" w:rsidRDefault="00D33B46" w:rsidP="00C470A9">
      <w:pPr>
        <w:rPr>
          <w:rFonts w:eastAsia="Calibri"/>
          <w:sz w:val="22"/>
          <w:szCs w:val="22"/>
          <w:lang w:eastAsia="en-US"/>
        </w:rPr>
      </w:pPr>
    </w:p>
    <w:p w14:paraId="73039D21" w14:textId="77777777" w:rsidR="00D33B46" w:rsidRDefault="00D33B46" w:rsidP="00C470A9">
      <w:pPr>
        <w:rPr>
          <w:rFonts w:eastAsia="Calibri"/>
          <w:sz w:val="22"/>
          <w:szCs w:val="22"/>
          <w:lang w:eastAsia="en-US"/>
        </w:rPr>
      </w:pPr>
    </w:p>
    <w:p w14:paraId="3483ECB9" w14:textId="77777777" w:rsidR="00D33B46" w:rsidRDefault="00D33B46" w:rsidP="00C470A9">
      <w:pPr>
        <w:rPr>
          <w:rFonts w:eastAsia="Calibri"/>
          <w:sz w:val="22"/>
          <w:szCs w:val="22"/>
          <w:lang w:eastAsia="en-US"/>
        </w:rPr>
      </w:pPr>
    </w:p>
    <w:p w14:paraId="3306D5B0" w14:textId="77777777" w:rsidR="00D33B46" w:rsidRDefault="00D33B46" w:rsidP="00C470A9">
      <w:pPr>
        <w:rPr>
          <w:rFonts w:eastAsia="Calibri"/>
          <w:sz w:val="22"/>
          <w:szCs w:val="22"/>
          <w:lang w:eastAsia="en-US"/>
        </w:rPr>
      </w:pPr>
    </w:p>
    <w:p w14:paraId="50A9DF89" w14:textId="77777777" w:rsidR="00D33B46" w:rsidRDefault="00D33B46" w:rsidP="00C470A9">
      <w:pPr>
        <w:rPr>
          <w:rFonts w:eastAsia="Calibri"/>
          <w:sz w:val="22"/>
          <w:szCs w:val="22"/>
          <w:lang w:eastAsia="en-US"/>
        </w:rPr>
      </w:pPr>
    </w:p>
    <w:p w14:paraId="0A518A7C" w14:textId="77777777" w:rsidR="00D33B46" w:rsidRDefault="00D33B46" w:rsidP="00C470A9">
      <w:pPr>
        <w:rPr>
          <w:rFonts w:eastAsia="Calibri"/>
          <w:sz w:val="22"/>
          <w:szCs w:val="22"/>
          <w:lang w:eastAsia="en-US"/>
        </w:rPr>
      </w:pPr>
    </w:p>
    <w:p w14:paraId="5F880C28" w14:textId="77777777" w:rsidR="00D33B46" w:rsidRDefault="00D33B46" w:rsidP="00C470A9">
      <w:pPr>
        <w:rPr>
          <w:rFonts w:eastAsia="Calibri"/>
          <w:sz w:val="22"/>
          <w:szCs w:val="22"/>
          <w:lang w:eastAsia="en-US"/>
        </w:rPr>
      </w:pPr>
    </w:p>
    <w:p w14:paraId="26F84C6C" w14:textId="77777777" w:rsidR="00D33B46" w:rsidRDefault="00D33B46" w:rsidP="00C470A9">
      <w:pPr>
        <w:rPr>
          <w:rFonts w:eastAsia="Calibri"/>
          <w:sz w:val="22"/>
          <w:szCs w:val="22"/>
          <w:lang w:eastAsia="en-US"/>
        </w:rPr>
      </w:pPr>
    </w:p>
    <w:p w14:paraId="5ED4002A" w14:textId="77777777" w:rsidR="00D33B46" w:rsidRDefault="00D33B46" w:rsidP="00C470A9">
      <w:pPr>
        <w:rPr>
          <w:rFonts w:eastAsia="Calibri"/>
          <w:sz w:val="22"/>
          <w:szCs w:val="22"/>
          <w:lang w:eastAsia="en-US"/>
        </w:rPr>
      </w:pPr>
    </w:p>
    <w:p w14:paraId="422C03E4" w14:textId="77777777" w:rsidR="00D33B46" w:rsidRDefault="00D33B46" w:rsidP="00C470A9">
      <w:pPr>
        <w:rPr>
          <w:rFonts w:eastAsia="Calibri"/>
          <w:sz w:val="22"/>
          <w:szCs w:val="22"/>
          <w:lang w:eastAsia="en-US"/>
        </w:rPr>
      </w:pPr>
    </w:p>
    <w:p w14:paraId="22E65FD5" w14:textId="77777777" w:rsidR="00D33B46" w:rsidRDefault="00D33B46" w:rsidP="00C470A9">
      <w:pPr>
        <w:rPr>
          <w:rFonts w:eastAsia="Calibri"/>
          <w:sz w:val="22"/>
          <w:szCs w:val="22"/>
          <w:lang w:eastAsia="en-US"/>
        </w:rPr>
      </w:pPr>
    </w:p>
    <w:p w14:paraId="7A472D46" w14:textId="77777777" w:rsidR="00D33B46" w:rsidRDefault="00D33B46" w:rsidP="00C470A9">
      <w:pPr>
        <w:rPr>
          <w:rFonts w:eastAsia="Calibri"/>
          <w:sz w:val="22"/>
          <w:szCs w:val="22"/>
          <w:lang w:eastAsia="en-US"/>
        </w:rPr>
      </w:pPr>
    </w:p>
    <w:p w14:paraId="0E686CD9" w14:textId="77777777" w:rsidR="00D33B46" w:rsidRDefault="00D33B46" w:rsidP="00C470A9">
      <w:pPr>
        <w:rPr>
          <w:rFonts w:eastAsia="Calibri"/>
          <w:sz w:val="22"/>
          <w:szCs w:val="22"/>
          <w:lang w:eastAsia="en-US"/>
        </w:rPr>
      </w:pPr>
    </w:p>
    <w:p w14:paraId="2A8683C8" w14:textId="77777777" w:rsidR="00D33B46" w:rsidRDefault="00D33B46" w:rsidP="00C470A9">
      <w:pPr>
        <w:rPr>
          <w:rFonts w:eastAsia="Calibri"/>
          <w:sz w:val="22"/>
          <w:szCs w:val="22"/>
          <w:lang w:eastAsia="en-US"/>
        </w:rPr>
      </w:pPr>
    </w:p>
    <w:p w14:paraId="05DBD9BA" w14:textId="77777777" w:rsidR="008B4FCC" w:rsidRDefault="008B4FCC" w:rsidP="00C470A9">
      <w:pPr>
        <w:rPr>
          <w:rFonts w:eastAsia="Calibri"/>
          <w:sz w:val="22"/>
          <w:szCs w:val="22"/>
          <w:lang w:eastAsia="en-US"/>
        </w:rPr>
      </w:pPr>
    </w:p>
    <w:p w14:paraId="5E3C7382" w14:textId="77777777" w:rsidR="008B4FCC" w:rsidRDefault="008B4FCC" w:rsidP="00C470A9">
      <w:pPr>
        <w:rPr>
          <w:rFonts w:eastAsia="Calibri"/>
          <w:sz w:val="22"/>
          <w:szCs w:val="22"/>
          <w:lang w:eastAsia="en-US"/>
        </w:rPr>
      </w:pPr>
    </w:p>
    <w:p w14:paraId="2A726DD6" w14:textId="77777777" w:rsidR="00D33B46" w:rsidRDefault="00D33B46" w:rsidP="00C470A9">
      <w:pPr>
        <w:rPr>
          <w:rFonts w:eastAsia="Calibri"/>
          <w:sz w:val="22"/>
          <w:szCs w:val="22"/>
          <w:lang w:eastAsia="en-US"/>
        </w:rPr>
      </w:pPr>
    </w:p>
    <w:p w14:paraId="440C37CE" w14:textId="77777777" w:rsidR="00D33B46" w:rsidRDefault="00D33B46" w:rsidP="00C470A9">
      <w:pPr>
        <w:rPr>
          <w:rFonts w:eastAsia="Calibri"/>
          <w:sz w:val="22"/>
          <w:szCs w:val="22"/>
          <w:lang w:eastAsia="en-US"/>
        </w:rPr>
      </w:pPr>
    </w:p>
    <w:p w14:paraId="7206A278" w14:textId="77777777" w:rsidR="00D33B46" w:rsidRDefault="00D33B46" w:rsidP="00C470A9">
      <w:pPr>
        <w:rPr>
          <w:rFonts w:eastAsia="Calibri"/>
          <w:sz w:val="22"/>
          <w:szCs w:val="22"/>
          <w:lang w:eastAsia="en-US"/>
        </w:rPr>
      </w:pPr>
    </w:p>
    <w:p w14:paraId="5028323E" w14:textId="77777777" w:rsidR="008B4FCC" w:rsidRDefault="008B4FCC" w:rsidP="00C470A9">
      <w:pPr>
        <w:rPr>
          <w:rFonts w:eastAsia="Calibri"/>
          <w:sz w:val="22"/>
          <w:szCs w:val="22"/>
          <w:lang w:eastAsia="en-US"/>
        </w:rPr>
      </w:pPr>
    </w:p>
    <w:p w14:paraId="311C6392" w14:textId="77777777" w:rsidR="008B4FCC" w:rsidRDefault="008B4FCC" w:rsidP="00C470A9">
      <w:pPr>
        <w:rPr>
          <w:rFonts w:eastAsia="Calibri"/>
          <w:sz w:val="22"/>
          <w:szCs w:val="22"/>
          <w:lang w:eastAsia="en-US"/>
        </w:rPr>
      </w:pPr>
    </w:p>
    <w:p w14:paraId="6AFC09BD" w14:textId="3F1EB2B3" w:rsidR="00D93356" w:rsidRPr="00E90195" w:rsidRDefault="00D93356" w:rsidP="00D93356">
      <w:pPr>
        <w:jc w:val="right"/>
        <w:rPr>
          <w:rFonts w:eastAsia="Calibri"/>
          <w:sz w:val="22"/>
          <w:szCs w:val="22"/>
          <w:lang w:eastAsia="en-US"/>
        </w:rPr>
      </w:pPr>
      <w:r w:rsidRPr="00E90195">
        <w:rPr>
          <w:rFonts w:eastAsia="Calibri"/>
          <w:sz w:val="22"/>
          <w:szCs w:val="22"/>
          <w:lang w:eastAsia="en-US"/>
        </w:rPr>
        <w:lastRenderedPageBreak/>
        <w:t xml:space="preserve">Приложение </w:t>
      </w:r>
      <w:r>
        <w:rPr>
          <w:rFonts w:eastAsia="Calibri"/>
          <w:sz w:val="22"/>
          <w:szCs w:val="22"/>
          <w:lang w:eastAsia="en-US"/>
        </w:rPr>
        <w:t>1</w:t>
      </w:r>
      <w:r w:rsidRPr="00E90195">
        <w:rPr>
          <w:rFonts w:eastAsia="Calibri"/>
          <w:sz w:val="22"/>
          <w:szCs w:val="22"/>
          <w:lang w:eastAsia="en-US"/>
        </w:rPr>
        <w:t xml:space="preserve"> к Торговой документации</w:t>
      </w:r>
    </w:p>
    <w:p w14:paraId="655E838D" w14:textId="77777777" w:rsidR="00D027CA" w:rsidRDefault="00D027CA" w:rsidP="00C470A9">
      <w:pPr>
        <w:rPr>
          <w:rFonts w:eastAsia="Calibri"/>
          <w:sz w:val="22"/>
          <w:szCs w:val="22"/>
          <w:lang w:eastAsia="en-US"/>
        </w:rPr>
      </w:pPr>
    </w:p>
    <w:p w14:paraId="7F50D273" w14:textId="77777777" w:rsidR="00D33B46" w:rsidRPr="00D33B46" w:rsidRDefault="003C0393" w:rsidP="00D33B46">
      <w:r>
        <w:rPr>
          <w:rFonts w:eastAsia="Calibri"/>
          <w:b/>
          <w:sz w:val="24"/>
          <w:szCs w:val="24"/>
          <w:lang w:eastAsia="en-US"/>
        </w:rPr>
        <w:t xml:space="preserve">        </w:t>
      </w:r>
    </w:p>
    <w:p w14:paraId="1C6790A2" w14:textId="52F98DFB" w:rsidR="00D34E66" w:rsidRPr="00D34E66" w:rsidRDefault="00D34E66" w:rsidP="00D34E66">
      <w:pPr>
        <w:rPr>
          <w:b/>
          <w:bCs/>
          <w:sz w:val="24"/>
          <w:szCs w:val="24"/>
        </w:rPr>
      </w:pPr>
      <w:r w:rsidRPr="00D34E66">
        <w:rPr>
          <w:b/>
          <w:bCs/>
          <w:sz w:val="24"/>
          <w:szCs w:val="24"/>
        </w:rPr>
        <w:t xml:space="preserve">Лот </w:t>
      </w:r>
      <w:r>
        <w:rPr>
          <w:b/>
          <w:bCs/>
          <w:sz w:val="24"/>
          <w:szCs w:val="24"/>
        </w:rPr>
        <w:t>1</w:t>
      </w:r>
      <w:r w:rsidRPr="00D34E66">
        <w:rPr>
          <w:b/>
          <w:bCs/>
          <w:sz w:val="24"/>
          <w:szCs w:val="24"/>
        </w:rPr>
        <w:t>. Документы/основания право собственности</w:t>
      </w:r>
    </w:p>
    <w:p w14:paraId="4C24520B" w14:textId="77777777" w:rsidR="00D34E66" w:rsidRDefault="00D34E66" w:rsidP="00D34E66">
      <w:pPr>
        <w:rPr>
          <w:sz w:val="24"/>
          <w:szCs w:val="24"/>
        </w:rPr>
      </w:pPr>
    </w:p>
    <w:p w14:paraId="286C5CDE" w14:textId="77777777" w:rsidR="00D34E66" w:rsidRDefault="00D34E66" w:rsidP="00D34E66">
      <w:pPr>
        <w:pStyle w:val="a6"/>
        <w:numPr>
          <w:ilvl w:val="0"/>
          <w:numId w:val="8"/>
        </w:numPr>
        <w:contextualSpacing/>
      </w:pPr>
      <w:r>
        <w:t xml:space="preserve">Выписка ЕГРН </w:t>
      </w:r>
      <w:proofErr w:type="spellStart"/>
      <w:r>
        <w:t>хар</w:t>
      </w:r>
      <w:proofErr w:type="spellEnd"/>
      <w:r>
        <w:t>-ка Муром жилой дом от 29.02.2024;</w:t>
      </w:r>
    </w:p>
    <w:p w14:paraId="60338790" w14:textId="77777777" w:rsidR="00D34E66" w:rsidRDefault="00D34E66" w:rsidP="00D34E66">
      <w:pPr>
        <w:pStyle w:val="a6"/>
        <w:numPr>
          <w:ilvl w:val="0"/>
          <w:numId w:val="8"/>
        </w:numPr>
        <w:contextualSpacing/>
      </w:pPr>
      <w:r>
        <w:t xml:space="preserve">Выписка ЕГРН </w:t>
      </w:r>
      <w:proofErr w:type="spellStart"/>
      <w:r>
        <w:t>хар</w:t>
      </w:r>
      <w:proofErr w:type="spellEnd"/>
      <w:r>
        <w:t>-ка Муром участок от 29.02.2024;</w:t>
      </w:r>
    </w:p>
    <w:p w14:paraId="33E49420" w14:textId="77777777" w:rsidR="00D34E66" w:rsidRDefault="00D34E66" w:rsidP="00D34E66">
      <w:pPr>
        <w:pStyle w:val="a6"/>
        <w:numPr>
          <w:ilvl w:val="0"/>
          <w:numId w:val="8"/>
        </w:numPr>
        <w:contextualSpacing/>
      </w:pPr>
      <w:r>
        <w:t>Постановление СПИ о передачи не реализованного имущества № 33013/18/217135 от 21.06.2018;</w:t>
      </w:r>
    </w:p>
    <w:p w14:paraId="63137048" w14:textId="77777777" w:rsidR="00D34E66" w:rsidRDefault="00D34E66" w:rsidP="00D34E66">
      <w:pPr>
        <w:pStyle w:val="a6"/>
        <w:numPr>
          <w:ilvl w:val="0"/>
          <w:numId w:val="8"/>
        </w:numPr>
        <w:contextualSpacing/>
      </w:pPr>
      <w:r>
        <w:t>Заявление об оставлении предмета залога за собой № 039-01-29 от 08.06.2018;</w:t>
      </w:r>
    </w:p>
    <w:p w14:paraId="7BC76021" w14:textId="77777777" w:rsidR="00D34E66" w:rsidRDefault="00D34E66" w:rsidP="00D34E66">
      <w:pPr>
        <w:pStyle w:val="a6"/>
        <w:numPr>
          <w:ilvl w:val="0"/>
          <w:numId w:val="8"/>
        </w:numPr>
        <w:contextualSpacing/>
      </w:pPr>
      <w:r>
        <w:t>РС Муромского городского суда № 2-721/2016 от 17.06.2016.</w:t>
      </w:r>
    </w:p>
    <w:p w14:paraId="0CAA7DA8" w14:textId="64C34F65" w:rsidR="00D33B46" w:rsidRDefault="00D33B46" w:rsidP="00D34E66">
      <w:pPr>
        <w:spacing w:after="160" w:line="256" w:lineRule="auto"/>
        <w:rPr>
          <w:sz w:val="24"/>
          <w:szCs w:val="24"/>
        </w:rPr>
      </w:pPr>
    </w:p>
    <w:p w14:paraId="5F705743" w14:textId="77777777" w:rsidR="00D34E66" w:rsidRDefault="00D34E66" w:rsidP="00D34E66">
      <w:pPr>
        <w:spacing w:after="160" w:line="256" w:lineRule="auto"/>
        <w:rPr>
          <w:sz w:val="24"/>
          <w:szCs w:val="24"/>
        </w:rPr>
      </w:pPr>
    </w:p>
    <w:p w14:paraId="214152A9" w14:textId="77777777" w:rsidR="00D34E66" w:rsidRDefault="00D34E66" w:rsidP="00D34E66">
      <w:pPr>
        <w:spacing w:after="160" w:line="256" w:lineRule="auto"/>
        <w:rPr>
          <w:sz w:val="24"/>
          <w:szCs w:val="24"/>
        </w:rPr>
      </w:pPr>
    </w:p>
    <w:p w14:paraId="230BB1C9" w14:textId="77777777" w:rsidR="00D34E66" w:rsidRDefault="00D34E66" w:rsidP="00D34E66">
      <w:pPr>
        <w:spacing w:after="160" w:line="256" w:lineRule="auto"/>
        <w:rPr>
          <w:sz w:val="24"/>
          <w:szCs w:val="24"/>
        </w:rPr>
      </w:pPr>
    </w:p>
    <w:p w14:paraId="0D69B222" w14:textId="77777777" w:rsidR="00D34E66" w:rsidRDefault="00D34E66" w:rsidP="00D34E66">
      <w:pPr>
        <w:spacing w:after="160" w:line="256" w:lineRule="auto"/>
        <w:rPr>
          <w:sz w:val="24"/>
          <w:szCs w:val="24"/>
        </w:rPr>
      </w:pPr>
    </w:p>
    <w:p w14:paraId="764573FE" w14:textId="77777777" w:rsidR="00D34E66" w:rsidRDefault="00D34E66" w:rsidP="00D34E66">
      <w:pPr>
        <w:spacing w:after="160" w:line="256" w:lineRule="auto"/>
        <w:rPr>
          <w:sz w:val="24"/>
          <w:szCs w:val="24"/>
        </w:rPr>
      </w:pPr>
    </w:p>
    <w:p w14:paraId="7CAEA0C7" w14:textId="77777777" w:rsidR="00D34E66" w:rsidRDefault="00D34E66" w:rsidP="00D34E66">
      <w:pPr>
        <w:spacing w:after="160" w:line="256" w:lineRule="auto"/>
        <w:rPr>
          <w:sz w:val="24"/>
          <w:szCs w:val="24"/>
        </w:rPr>
      </w:pPr>
    </w:p>
    <w:p w14:paraId="03164658" w14:textId="77777777" w:rsidR="00D34E66" w:rsidRDefault="00D34E66" w:rsidP="00D34E66">
      <w:pPr>
        <w:spacing w:after="160" w:line="256" w:lineRule="auto"/>
        <w:rPr>
          <w:sz w:val="24"/>
          <w:szCs w:val="24"/>
        </w:rPr>
      </w:pPr>
    </w:p>
    <w:p w14:paraId="617C89F1" w14:textId="77777777" w:rsidR="00D34E66" w:rsidRDefault="00D34E66" w:rsidP="00D34E66">
      <w:pPr>
        <w:spacing w:after="160" w:line="256" w:lineRule="auto"/>
        <w:rPr>
          <w:sz w:val="24"/>
          <w:szCs w:val="24"/>
        </w:rPr>
      </w:pPr>
    </w:p>
    <w:p w14:paraId="77C00CD7" w14:textId="77777777" w:rsidR="00D34E66" w:rsidRDefault="00D34E66" w:rsidP="00D34E66">
      <w:pPr>
        <w:spacing w:after="160" w:line="256" w:lineRule="auto"/>
        <w:rPr>
          <w:sz w:val="24"/>
          <w:szCs w:val="24"/>
        </w:rPr>
      </w:pPr>
    </w:p>
    <w:p w14:paraId="74223BDF" w14:textId="77777777" w:rsidR="00D34E66" w:rsidRDefault="00D34E66" w:rsidP="00D34E66">
      <w:pPr>
        <w:spacing w:after="160" w:line="256" w:lineRule="auto"/>
        <w:rPr>
          <w:sz w:val="24"/>
          <w:szCs w:val="24"/>
        </w:rPr>
      </w:pPr>
    </w:p>
    <w:p w14:paraId="5583017C" w14:textId="77777777" w:rsidR="00D34E66" w:rsidRDefault="00D34E66" w:rsidP="00D34E66">
      <w:pPr>
        <w:spacing w:after="160" w:line="256" w:lineRule="auto"/>
        <w:rPr>
          <w:sz w:val="24"/>
          <w:szCs w:val="24"/>
        </w:rPr>
      </w:pPr>
    </w:p>
    <w:p w14:paraId="3E6088C7" w14:textId="77777777" w:rsidR="00D34E66" w:rsidRDefault="00D34E66" w:rsidP="00D34E66">
      <w:pPr>
        <w:spacing w:after="160" w:line="256" w:lineRule="auto"/>
        <w:rPr>
          <w:sz w:val="24"/>
          <w:szCs w:val="24"/>
        </w:rPr>
      </w:pPr>
    </w:p>
    <w:p w14:paraId="061F0496" w14:textId="77777777" w:rsidR="00D34E66" w:rsidRDefault="00D34E66" w:rsidP="00D34E66">
      <w:pPr>
        <w:spacing w:after="160" w:line="256" w:lineRule="auto"/>
        <w:rPr>
          <w:sz w:val="24"/>
          <w:szCs w:val="24"/>
        </w:rPr>
      </w:pPr>
    </w:p>
    <w:p w14:paraId="60CD0F11" w14:textId="77777777" w:rsidR="00D34E66" w:rsidRDefault="00D34E66" w:rsidP="00D34E66">
      <w:pPr>
        <w:spacing w:after="160" w:line="256" w:lineRule="auto"/>
        <w:rPr>
          <w:sz w:val="24"/>
          <w:szCs w:val="24"/>
        </w:rPr>
      </w:pPr>
    </w:p>
    <w:p w14:paraId="4E7B8486" w14:textId="77777777" w:rsidR="00D34E66" w:rsidRDefault="00D34E66" w:rsidP="00D34E66">
      <w:pPr>
        <w:spacing w:after="160" w:line="256" w:lineRule="auto"/>
        <w:rPr>
          <w:sz w:val="24"/>
          <w:szCs w:val="24"/>
        </w:rPr>
      </w:pPr>
    </w:p>
    <w:p w14:paraId="22C8F1C9" w14:textId="77777777" w:rsidR="00D34E66" w:rsidRDefault="00D34E66" w:rsidP="00D34E66">
      <w:pPr>
        <w:spacing w:after="160" w:line="256" w:lineRule="auto"/>
        <w:rPr>
          <w:sz w:val="24"/>
          <w:szCs w:val="24"/>
        </w:rPr>
      </w:pPr>
    </w:p>
    <w:p w14:paraId="51E7AAA1" w14:textId="77777777" w:rsidR="00D34E66" w:rsidRDefault="00D34E66" w:rsidP="00D34E66">
      <w:pPr>
        <w:spacing w:after="160" w:line="256" w:lineRule="auto"/>
        <w:rPr>
          <w:sz w:val="24"/>
          <w:szCs w:val="24"/>
        </w:rPr>
      </w:pPr>
    </w:p>
    <w:p w14:paraId="23D0DFC2" w14:textId="77777777" w:rsidR="00D34E66" w:rsidRDefault="00D34E66" w:rsidP="00D34E66">
      <w:pPr>
        <w:spacing w:after="160" w:line="256" w:lineRule="auto"/>
        <w:rPr>
          <w:sz w:val="24"/>
          <w:szCs w:val="24"/>
        </w:rPr>
      </w:pPr>
    </w:p>
    <w:p w14:paraId="61550947" w14:textId="77777777" w:rsidR="00D34E66" w:rsidRDefault="00D34E66" w:rsidP="00D34E66">
      <w:pPr>
        <w:spacing w:after="160" w:line="256" w:lineRule="auto"/>
        <w:rPr>
          <w:sz w:val="24"/>
          <w:szCs w:val="24"/>
        </w:rPr>
      </w:pPr>
    </w:p>
    <w:p w14:paraId="5A6249FD" w14:textId="77777777" w:rsidR="00D34E66" w:rsidRDefault="00D34E66" w:rsidP="00D34E66">
      <w:pPr>
        <w:spacing w:after="160" w:line="256" w:lineRule="auto"/>
        <w:rPr>
          <w:sz w:val="24"/>
          <w:szCs w:val="24"/>
        </w:rPr>
      </w:pPr>
    </w:p>
    <w:p w14:paraId="03074627" w14:textId="77777777" w:rsidR="00D34E66" w:rsidRDefault="00D34E66" w:rsidP="00D34E66">
      <w:pPr>
        <w:spacing w:after="160" w:line="256" w:lineRule="auto"/>
        <w:rPr>
          <w:sz w:val="24"/>
          <w:szCs w:val="24"/>
        </w:rPr>
      </w:pPr>
    </w:p>
    <w:p w14:paraId="28755CCF" w14:textId="77777777" w:rsidR="00D34E66" w:rsidRDefault="00D34E66" w:rsidP="00D34E66">
      <w:pPr>
        <w:spacing w:after="160" w:line="256" w:lineRule="auto"/>
        <w:rPr>
          <w:sz w:val="24"/>
          <w:szCs w:val="24"/>
        </w:rPr>
      </w:pPr>
    </w:p>
    <w:p w14:paraId="0A322FEC" w14:textId="77777777" w:rsidR="00D34E66" w:rsidRDefault="00D34E66" w:rsidP="00D34E66">
      <w:pPr>
        <w:spacing w:after="160" w:line="256" w:lineRule="auto"/>
        <w:rPr>
          <w:sz w:val="24"/>
          <w:szCs w:val="24"/>
        </w:rPr>
      </w:pPr>
    </w:p>
    <w:p w14:paraId="3B3F7368" w14:textId="77777777" w:rsidR="00D34E66" w:rsidRDefault="00D34E66" w:rsidP="00D34E66">
      <w:pPr>
        <w:spacing w:after="160" w:line="256" w:lineRule="auto"/>
        <w:rPr>
          <w:rFonts w:eastAsia="Calibri"/>
          <w:sz w:val="22"/>
          <w:szCs w:val="22"/>
          <w:lang w:eastAsia="en-US"/>
        </w:rPr>
      </w:pPr>
    </w:p>
    <w:p w14:paraId="292492DC" w14:textId="77777777" w:rsidR="008B4FCC" w:rsidRDefault="008B4FCC" w:rsidP="00D93356">
      <w:pPr>
        <w:rPr>
          <w:rFonts w:eastAsia="Calibri"/>
          <w:sz w:val="22"/>
          <w:szCs w:val="22"/>
          <w:lang w:eastAsia="en-US"/>
        </w:rPr>
      </w:pPr>
    </w:p>
    <w:p w14:paraId="3C4066B5" w14:textId="77777777" w:rsidR="009A48C4" w:rsidRDefault="009A48C4" w:rsidP="00B61CE1">
      <w:pPr>
        <w:jc w:val="right"/>
        <w:rPr>
          <w:rFonts w:eastAsia="Calibri"/>
          <w:sz w:val="22"/>
          <w:szCs w:val="22"/>
          <w:lang w:eastAsia="en-US"/>
        </w:rPr>
      </w:pPr>
    </w:p>
    <w:p w14:paraId="06D01B97" w14:textId="62CB3BFE" w:rsidR="00B61CE1" w:rsidRPr="00E90195" w:rsidRDefault="00B61CE1" w:rsidP="00B61CE1">
      <w:pPr>
        <w:jc w:val="right"/>
        <w:rPr>
          <w:rFonts w:eastAsia="Calibri"/>
          <w:sz w:val="22"/>
          <w:szCs w:val="22"/>
          <w:lang w:eastAsia="en-US"/>
        </w:rPr>
      </w:pPr>
      <w:bookmarkStart w:id="38" w:name="_Hlk163051155"/>
      <w:r w:rsidRPr="00E90195">
        <w:rPr>
          <w:rFonts w:eastAsia="Calibri"/>
          <w:sz w:val="22"/>
          <w:szCs w:val="22"/>
          <w:lang w:eastAsia="en-US"/>
        </w:rPr>
        <w:lastRenderedPageBreak/>
        <w:t xml:space="preserve">Приложение </w:t>
      </w:r>
      <w:r w:rsidR="00D93356">
        <w:rPr>
          <w:rFonts w:eastAsia="Calibri"/>
          <w:sz w:val="22"/>
          <w:szCs w:val="22"/>
          <w:lang w:eastAsia="en-US"/>
        </w:rPr>
        <w:t>2</w:t>
      </w:r>
      <w:r w:rsidRPr="00E90195">
        <w:rPr>
          <w:rFonts w:eastAsia="Calibri"/>
          <w:sz w:val="22"/>
          <w:szCs w:val="22"/>
          <w:lang w:eastAsia="en-US"/>
        </w:rPr>
        <w:t xml:space="preserve"> к Торговой документации</w:t>
      </w:r>
    </w:p>
    <w:bookmarkEnd w:id="38"/>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D06D60" w:rsidRDefault="00C470A9" w:rsidP="00C470A9">
      <w:pPr>
        <w:jc w:val="right"/>
        <w:rPr>
          <w:rFonts w:eastAsia="Calibri"/>
          <w:sz w:val="24"/>
          <w:szCs w:val="24"/>
          <w:lang w:eastAsia="en-US"/>
        </w:rPr>
      </w:pPr>
    </w:p>
    <w:p w14:paraId="26256A8E" w14:textId="77777777" w:rsidR="00B61CE1" w:rsidRPr="00E90195" w:rsidRDefault="00B61CE1"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7A672447" w14:textId="77777777" w:rsidR="00D027CA" w:rsidRDefault="00D027CA" w:rsidP="00EC430A">
      <w:pPr>
        <w:rPr>
          <w:sz w:val="24"/>
          <w:szCs w:val="24"/>
        </w:rPr>
      </w:pPr>
    </w:p>
    <w:p w14:paraId="60C235EE" w14:textId="77777777" w:rsidR="00D93356" w:rsidRDefault="00D93356" w:rsidP="00EC430A">
      <w:pPr>
        <w:rPr>
          <w:sz w:val="24"/>
          <w:szCs w:val="24"/>
        </w:rPr>
      </w:pPr>
    </w:p>
    <w:p w14:paraId="292E1E93" w14:textId="77777777" w:rsidR="00D33B46" w:rsidRDefault="00D33B46" w:rsidP="00EC430A">
      <w:pPr>
        <w:rPr>
          <w:sz w:val="24"/>
          <w:szCs w:val="24"/>
        </w:rPr>
      </w:pPr>
    </w:p>
    <w:p w14:paraId="01BE5287" w14:textId="77777777" w:rsidR="00304D7B" w:rsidRPr="00E90195" w:rsidRDefault="00304D7B" w:rsidP="00EC430A">
      <w:pPr>
        <w:rPr>
          <w:sz w:val="24"/>
          <w:szCs w:val="24"/>
        </w:rPr>
      </w:pPr>
    </w:p>
    <w:p w14:paraId="69A510C0" w14:textId="5ACF32AC"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lastRenderedPageBreak/>
        <w:t xml:space="preserve">Приложение </w:t>
      </w:r>
      <w:r w:rsidR="00D93356">
        <w:rPr>
          <w:sz w:val="24"/>
          <w:szCs w:val="24"/>
        </w:rPr>
        <w:t>3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13974">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70F14" w14:textId="77777777" w:rsidR="003B1552" w:rsidRDefault="003B1552" w:rsidP="00020E44">
      <w:r>
        <w:separator/>
      </w:r>
    </w:p>
  </w:endnote>
  <w:endnote w:type="continuationSeparator" w:id="0">
    <w:p w14:paraId="4FB13A72" w14:textId="77777777" w:rsidR="003B1552" w:rsidRDefault="003B1552"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MS Gothic"/>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5FCA" w14:textId="77777777" w:rsidR="003B1552" w:rsidRDefault="003B1552" w:rsidP="00020E44">
      <w:r>
        <w:separator/>
      </w:r>
    </w:p>
  </w:footnote>
  <w:footnote w:type="continuationSeparator" w:id="0">
    <w:p w14:paraId="37CBCA8E" w14:textId="77777777" w:rsidR="003B1552" w:rsidRDefault="003B1552"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6798468">
    <w:abstractNumId w:val="0"/>
  </w:num>
  <w:num w:numId="2" w16cid:durableId="445974952">
    <w:abstractNumId w:val="1"/>
  </w:num>
  <w:num w:numId="3" w16cid:durableId="1672832736">
    <w:abstractNumId w:val="7"/>
  </w:num>
  <w:num w:numId="4" w16cid:durableId="1955869569">
    <w:abstractNumId w:val="2"/>
  </w:num>
  <w:num w:numId="5" w16cid:durableId="100301517">
    <w:abstractNumId w:val="4"/>
    <w:lvlOverride w:ilvl="0">
      <w:startOverride w:val="1"/>
    </w:lvlOverride>
    <w:lvlOverride w:ilvl="1"/>
    <w:lvlOverride w:ilvl="2"/>
    <w:lvlOverride w:ilvl="3"/>
    <w:lvlOverride w:ilvl="4"/>
    <w:lvlOverride w:ilvl="5"/>
    <w:lvlOverride w:ilvl="6"/>
    <w:lvlOverride w:ilvl="7"/>
    <w:lvlOverride w:ilvl="8"/>
  </w:num>
  <w:num w:numId="6" w16cid:durableId="33237879">
    <w:abstractNumId w:val="3"/>
  </w:num>
  <w:num w:numId="7" w16cid:durableId="1725787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996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D732A"/>
    <w:rsid w:val="000D7ECC"/>
    <w:rsid w:val="0010351D"/>
    <w:rsid w:val="00125202"/>
    <w:rsid w:val="00135C07"/>
    <w:rsid w:val="00147EBE"/>
    <w:rsid w:val="00151EEF"/>
    <w:rsid w:val="0018334F"/>
    <w:rsid w:val="00191C23"/>
    <w:rsid w:val="001A139D"/>
    <w:rsid w:val="001A4FEC"/>
    <w:rsid w:val="001B0C8B"/>
    <w:rsid w:val="001C1360"/>
    <w:rsid w:val="001C3868"/>
    <w:rsid w:val="001E0D4B"/>
    <w:rsid w:val="001E57BF"/>
    <w:rsid w:val="001F6DFF"/>
    <w:rsid w:val="0020448D"/>
    <w:rsid w:val="002327BC"/>
    <w:rsid w:val="00242116"/>
    <w:rsid w:val="0024227F"/>
    <w:rsid w:val="00250A5E"/>
    <w:rsid w:val="00275198"/>
    <w:rsid w:val="00281B2E"/>
    <w:rsid w:val="00282060"/>
    <w:rsid w:val="0029467B"/>
    <w:rsid w:val="002A47F8"/>
    <w:rsid w:val="002A48B8"/>
    <w:rsid w:val="002B1C09"/>
    <w:rsid w:val="002B6080"/>
    <w:rsid w:val="002C16C9"/>
    <w:rsid w:val="002E6214"/>
    <w:rsid w:val="002F17FE"/>
    <w:rsid w:val="00304D7B"/>
    <w:rsid w:val="00314375"/>
    <w:rsid w:val="0031724B"/>
    <w:rsid w:val="003214BC"/>
    <w:rsid w:val="00346DD0"/>
    <w:rsid w:val="003517EB"/>
    <w:rsid w:val="00377AA3"/>
    <w:rsid w:val="00377B44"/>
    <w:rsid w:val="0038146F"/>
    <w:rsid w:val="003862B6"/>
    <w:rsid w:val="00390008"/>
    <w:rsid w:val="00390899"/>
    <w:rsid w:val="003915E6"/>
    <w:rsid w:val="003A1751"/>
    <w:rsid w:val="003B1552"/>
    <w:rsid w:val="003B4CBF"/>
    <w:rsid w:val="003C0393"/>
    <w:rsid w:val="003D41DE"/>
    <w:rsid w:val="003E53D6"/>
    <w:rsid w:val="003F6CF2"/>
    <w:rsid w:val="00411C0B"/>
    <w:rsid w:val="00424E22"/>
    <w:rsid w:val="004456CD"/>
    <w:rsid w:val="004512F4"/>
    <w:rsid w:val="00474B20"/>
    <w:rsid w:val="00477AE3"/>
    <w:rsid w:val="004955C5"/>
    <w:rsid w:val="00497C09"/>
    <w:rsid w:val="004A2315"/>
    <w:rsid w:val="004A6E92"/>
    <w:rsid w:val="004A78CB"/>
    <w:rsid w:val="004B18E9"/>
    <w:rsid w:val="004E1FE6"/>
    <w:rsid w:val="004E3B5D"/>
    <w:rsid w:val="00510D9A"/>
    <w:rsid w:val="0051726C"/>
    <w:rsid w:val="005424ED"/>
    <w:rsid w:val="00550944"/>
    <w:rsid w:val="005661B6"/>
    <w:rsid w:val="0057403D"/>
    <w:rsid w:val="00575FB5"/>
    <w:rsid w:val="005859DB"/>
    <w:rsid w:val="00590D01"/>
    <w:rsid w:val="00594B5E"/>
    <w:rsid w:val="005A057C"/>
    <w:rsid w:val="005B163E"/>
    <w:rsid w:val="005E0170"/>
    <w:rsid w:val="005E4D03"/>
    <w:rsid w:val="00623EAB"/>
    <w:rsid w:val="006324E0"/>
    <w:rsid w:val="0065078A"/>
    <w:rsid w:val="006712A6"/>
    <w:rsid w:val="006856F1"/>
    <w:rsid w:val="006861A8"/>
    <w:rsid w:val="006933C9"/>
    <w:rsid w:val="00694120"/>
    <w:rsid w:val="006A7596"/>
    <w:rsid w:val="006C1CFA"/>
    <w:rsid w:val="006C643E"/>
    <w:rsid w:val="006C715A"/>
    <w:rsid w:val="006E4908"/>
    <w:rsid w:val="006E5F3F"/>
    <w:rsid w:val="006F3A34"/>
    <w:rsid w:val="0071537B"/>
    <w:rsid w:val="0072501D"/>
    <w:rsid w:val="00732999"/>
    <w:rsid w:val="007446AA"/>
    <w:rsid w:val="00747441"/>
    <w:rsid w:val="00756F6F"/>
    <w:rsid w:val="00760848"/>
    <w:rsid w:val="00776EAD"/>
    <w:rsid w:val="0077706D"/>
    <w:rsid w:val="00782F8E"/>
    <w:rsid w:val="00792113"/>
    <w:rsid w:val="0079398D"/>
    <w:rsid w:val="00795722"/>
    <w:rsid w:val="007A56D6"/>
    <w:rsid w:val="007B0CC1"/>
    <w:rsid w:val="007B1F5B"/>
    <w:rsid w:val="007D03AC"/>
    <w:rsid w:val="007D27FE"/>
    <w:rsid w:val="007F45F8"/>
    <w:rsid w:val="008000D3"/>
    <w:rsid w:val="00805A10"/>
    <w:rsid w:val="00807FF1"/>
    <w:rsid w:val="00863558"/>
    <w:rsid w:val="00872DF1"/>
    <w:rsid w:val="00875F6F"/>
    <w:rsid w:val="008862CE"/>
    <w:rsid w:val="00891601"/>
    <w:rsid w:val="008B47ED"/>
    <w:rsid w:val="008B4FCC"/>
    <w:rsid w:val="008C4E71"/>
    <w:rsid w:val="008D1E64"/>
    <w:rsid w:val="008D4D6D"/>
    <w:rsid w:val="008E0CC8"/>
    <w:rsid w:val="008F6A39"/>
    <w:rsid w:val="00915926"/>
    <w:rsid w:val="00924072"/>
    <w:rsid w:val="00940CEA"/>
    <w:rsid w:val="0095222D"/>
    <w:rsid w:val="00953C93"/>
    <w:rsid w:val="00954566"/>
    <w:rsid w:val="00965AF8"/>
    <w:rsid w:val="00970B75"/>
    <w:rsid w:val="009A48C4"/>
    <w:rsid w:val="009B091F"/>
    <w:rsid w:val="009B299D"/>
    <w:rsid w:val="009C0F20"/>
    <w:rsid w:val="009C46DB"/>
    <w:rsid w:val="009D443C"/>
    <w:rsid w:val="009E2985"/>
    <w:rsid w:val="009F7494"/>
    <w:rsid w:val="00A13974"/>
    <w:rsid w:val="00A5020E"/>
    <w:rsid w:val="00A54634"/>
    <w:rsid w:val="00A54663"/>
    <w:rsid w:val="00A66290"/>
    <w:rsid w:val="00A81EAC"/>
    <w:rsid w:val="00A90363"/>
    <w:rsid w:val="00A90ED6"/>
    <w:rsid w:val="00A9651A"/>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5312"/>
    <w:rsid w:val="00C03E57"/>
    <w:rsid w:val="00C1100A"/>
    <w:rsid w:val="00C20A1C"/>
    <w:rsid w:val="00C470A9"/>
    <w:rsid w:val="00C51739"/>
    <w:rsid w:val="00C63384"/>
    <w:rsid w:val="00C6674A"/>
    <w:rsid w:val="00C73F8A"/>
    <w:rsid w:val="00C87EB5"/>
    <w:rsid w:val="00CC713D"/>
    <w:rsid w:val="00CC7647"/>
    <w:rsid w:val="00CE30E9"/>
    <w:rsid w:val="00CF587E"/>
    <w:rsid w:val="00D01B06"/>
    <w:rsid w:val="00D027CA"/>
    <w:rsid w:val="00D041D8"/>
    <w:rsid w:val="00D05DA9"/>
    <w:rsid w:val="00D17325"/>
    <w:rsid w:val="00D2029C"/>
    <w:rsid w:val="00D20C3B"/>
    <w:rsid w:val="00D256EF"/>
    <w:rsid w:val="00D33B46"/>
    <w:rsid w:val="00D34E66"/>
    <w:rsid w:val="00D6008A"/>
    <w:rsid w:val="00D63EA0"/>
    <w:rsid w:val="00D7315B"/>
    <w:rsid w:val="00D74A01"/>
    <w:rsid w:val="00D74F7C"/>
    <w:rsid w:val="00D87DE9"/>
    <w:rsid w:val="00D93356"/>
    <w:rsid w:val="00DA26B9"/>
    <w:rsid w:val="00DA27EE"/>
    <w:rsid w:val="00DE1F6E"/>
    <w:rsid w:val="00DE2D76"/>
    <w:rsid w:val="00DE4693"/>
    <w:rsid w:val="00E00384"/>
    <w:rsid w:val="00E10240"/>
    <w:rsid w:val="00E13744"/>
    <w:rsid w:val="00E1535C"/>
    <w:rsid w:val="00E16DDF"/>
    <w:rsid w:val="00E3516C"/>
    <w:rsid w:val="00E371D1"/>
    <w:rsid w:val="00E530DD"/>
    <w:rsid w:val="00E53179"/>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67B4B"/>
    <w:rsid w:val="00F73765"/>
    <w:rsid w:val="00F77E45"/>
    <w:rsid w:val="00F92BE1"/>
    <w:rsid w:val="00F9480E"/>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34C3356-49A9-43BE-ADC1-E8FA4E9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styleId="af9">
    <w:name w:val="Unresolved Mention"/>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7F3D-D1B0-4FC4-BA70-AB62F089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5576</Words>
  <Characters>31786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3</cp:revision>
  <cp:lastPrinted>2021-03-05T11:26:00Z</cp:lastPrinted>
  <dcterms:created xsi:type="dcterms:W3CDTF">2024-05-14T11:38:00Z</dcterms:created>
  <dcterms:modified xsi:type="dcterms:W3CDTF">2024-05-15T08:41:00Z</dcterms:modified>
</cp:coreProperties>
</file>