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ADC6DBD" w14:textId="68D72B19" w:rsidR="001A48DE" w:rsidRDefault="00020E44" w:rsidP="002C6675">
      <w:pPr>
        <w:widowControl w:val="0"/>
        <w:ind w:firstLine="709"/>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2C6675" w:rsidRPr="002C6675">
        <w:rPr>
          <w:rFonts w:eastAsiaTheme="minorHAnsi"/>
          <w:bCs/>
          <w:sz w:val="24"/>
          <w:szCs w:val="24"/>
          <w:lang w:eastAsia="en-US"/>
        </w:rPr>
        <w:t>право заключения договора купли-продажи имущества, находящегося в собственности АО «Россельхозбанк» (Удмуртский Региональный филиал АО «Россельхозбанк) (далее - Филиал/Банк/Кредитор/Принципал), вытекающие из договоров/ судебных актов (оснований)</w:t>
      </w:r>
      <w:r w:rsidR="001A48DE">
        <w:rPr>
          <w:rFonts w:eastAsiaTheme="minorHAnsi"/>
          <w:bCs/>
          <w:sz w:val="24"/>
          <w:szCs w:val="24"/>
          <w:lang w:eastAsia="en-US"/>
        </w:rPr>
        <w:t>.</w:t>
      </w:r>
    </w:p>
    <w:p w14:paraId="7E2DE67A" w14:textId="19B250EC" w:rsidR="00D34E66" w:rsidRDefault="003C0393" w:rsidP="002C6675">
      <w:pPr>
        <w:widowControl w:val="0"/>
        <w:ind w:firstLine="709"/>
        <w:jc w:val="both"/>
        <w:rPr>
          <w:rFonts w:eastAsiaTheme="minorHAnsi"/>
          <w:bCs/>
          <w:sz w:val="24"/>
          <w:szCs w:val="24"/>
          <w:lang w:eastAsia="en-US"/>
        </w:rPr>
      </w:pPr>
      <w:r w:rsidRPr="003C0393">
        <w:rPr>
          <w:rFonts w:eastAsiaTheme="minorHAnsi"/>
          <w:bCs/>
          <w:sz w:val="24"/>
          <w:szCs w:val="24"/>
          <w:lang w:eastAsia="en-US"/>
        </w:rPr>
        <w:t xml:space="preserve">Лот №1: </w:t>
      </w:r>
      <w:r w:rsidR="002C6675" w:rsidRPr="002C6675">
        <w:rPr>
          <w:rFonts w:eastAsiaTheme="minorHAnsi"/>
          <w:bCs/>
          <w:sz w:val="24"/>
          <w:szCs w:val="24"/>
          <w:lang w:eastAsia="en-US"/>
        </w:rPr>
        <w:t>Жилой дом площадью 114 кв.м., кадастровый номер 18:01:064001:297 и земельный участок площадью 3400 кв.м., кадастровый номер 18:01:064001:164, с категорией земель: земли населенных пунктов, для ведения личного подсобного хозяйства, расположенные по адресу: Удмуртская Республика, Алнашский район, д. Нижнее Асаново, пер. Лесной, д. 1.</w:t>
      </w:r>
    </w:p>
    <w:p w14:paraId="2BDB17D7" w14:textId="77777777" w:rsidR="002C6675" w:rsidRDefault="002C6675" w:rsidP="002C6675">
      <w:pPr>
        <w:widowControl w:val="0"/>
        <w:ind w:firstLine="709"/>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232B8EEC"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«1</w:t>
      </w:r>
      <w:r w:rsidR="003517EB">
        <w:rPr>
          <w:sz w:val="24"/>
          <w:szCs w:val="24"/>
        </w:rPr>
        <w:t>5</w:t>
      </w:r>
      <w:r w:rsidRPr="003C0393">
        <w:rPr>
          <w:sz w:val="24"/>
          <w:szCs w:val="24"/>
        </w:rPr>
        <w:t>» мая 2024 по «</w:t>
      </w:r>
      <w:r w:rsidR="00184FF1">
        <w:rPr>
          <w:sz w:val="24"/>
          <w:szCs w:val="24"/>
        </w:rPr>
        <w:t>20</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025CE767"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«1</w:t>
      </w:r>
      <w:r w:rsidR="00D34E66">
        <w:rPr>
          <w:sz w:val="24"/>
          <w:szCs w:val="24"/>
        </w:rPr>
        <w:t>5</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73923AE8"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09:00 по Московскому времени «</w:t>
      </w:r>
      <w:r w:rsidR="002C6675">
        <w:rPr>
          <w:sz w:val="24"/>
          <w:szCs w:val="24"/>
        </w:rPr>
        <w:t>16</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0A7AD110"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Pr="003C0393">
        <w:rPr>
          <w:sz w:val="24"/>
          <w:szCs w:val="24"/>
        </w:rPr>
        <w:t>21:00 по Московскому времени «1</w:t>
      </w:r>
      <w:r w:rsidR="002C6675">
        <w:rPr>
          <w:sz w:val="24"/>
          <w:szCs w:val="24"/>
        </w:rPr>
        <w:t>1</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42FD514D"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«1</w:t>
      </w:r>
      <w:r w:rsidR="00184FF1">
        <w:rPr>
          <w:sz w:val="24"/>
          <w:szCs w:val="24"/>
        </w:rPr>
        <w:t>8</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1DBF14FF" w:rsidR="003C0393" w:rsidRPr="003C0393" w:rsidRDefault="003C0393" w:rsidP="003C0393">
      <w:pPr>
        <w:widowControl w:val="0"/>
        <w:jc w:val="both"/>
        <w:rPr>
          <w:sz w:val="24"/>
          <w:szCs w:val="24"/>
        </w:rPr>
      </w:pPr>
      <w:r w:rsidRPr="003C0393">
        <w:rPr>
          <w:b/>
          <w:bCs/>
          <w:sz w:val="24"/>
          <w:szCs w:val="24"/>
        </w:rPr>
        <w:t xml:space="preserve"> </w:t>
      </w:r>
      <w:r w:rsidRPr="003C0393">
        <w:rPr>
          <w:sz w:val="24"/>
          <w:szCs w:val="24"/>
        </w:rPr>
        <w:t>«1</w:t>
      </w:r>
      <w:r w:rsidR="00184FF1">
        <w:rPr>
          <w:sz w:val="24"/>
          <w:szCs w:val="24"/>
        </w:rPr>
        <w:t>8</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7D32572D"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Pr="003C0393">
        <w:rPr>
          <w:sz w:val="24"/>
          <w:szCs w:val="24"/>
        </w:rPr>
        <w:t>09:00 по Московскому времени «</w:t>
      </w:r>
      <w:r w:rsidR="00184FF1">
        <w:rPr>
          <w:sz w:val="24"/>
          <w:szCs w:val="24"/>
        </w:rPr>
        <w:t>20</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6D5EE802"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184FF1">
        <w:rPr>
          <w:sz w:val="24"/>
          <w:szCs w:val="24"/>
        </w:rPr>
        <w:t>20</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2552D9BF" w14:textId="77777777" w:rsidR="003C0393" w:rsidRPr="003C0393" w:rsidRDefault="003C0393" w:rsidP="003C0393">
      <w:pPr>
        <w:widowControl w:val="0"/>
        <w:jc w:val="both"/>
        <w:rPr>
          <w:b/>
          <w:bCs/>
          <w:sz w:val="24"/>
          <w:szCs w:val="24"/>
        </w:rPr>
      </w:pPr>
      <w:r w:rsidRPr="003C0393">
        <w:rPr>
          <w:b/>
          <w:bCs/>
          <w:sz w:val="24"/>
          <w:szCs w:val="24"/>
        </w:rPr>
        <w:t xml:space="preserve">Дата оформления протокола о признании результатов торговой процедуры: </w:t>
      </w:r>
    </w:p>
    <w:p w14:paraId="18BE3ACC" w14:textId="45AAA9AB" w:rsidR="001A48DE" w:rsidRPr="00184FF1" w:rsidRDefault="003C0393" w:rsidP="003C0393">
      <w:pPr>
        <w:widowControl w:val="0"/>
        <w:jc w:val="both"/>
        <w:rPr>
          <w:sz w:val="24"/>
          <w:szCs w:val="24"/>
        </w:rPr>
      </w:pPr>
      <w:r w:rsidRPr="003C0393">
        <w:rPr>
          <w:sz w:val="24"/>
          <w:szCs w:val="24"/>
        </w:rPr>
        <w:t>«</w:t>
      </w:r>
      <w:r w:rsidR="00184FF1">
        <w:rPr>
          <w:sz w:val="24"/>
          <w:szCs w:val="24"/>
        </w:rPr>
        <w:t>20</w:t>
      </w:r>
      <w:r w:rsidRPr="003C0393">
        <w:rPr>
          <w:sz w:val="24"/>
          <w:szCs w:val="24"/>
        </w:rPr>
        <w:t>» июня 2024.</w:t>
      </w:r>
    </w:p>
    <w:p w14:paraId="0C606EFC" w14:textId="77777777" w:rsidR="001A48DE" w:rsidRPr="003C0393" w:rsidRDefault="001A48DE"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Контактное лицо: Бикмухаметова Диана Агабековна.</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2A807F6C" w14:textId="77777777" w:rsidR="002C6675" w:rsidRPr="002C6675" w:rsidRDefault="002C6675" w:rsidP="002C6675">
      <w:pPr>
        <w:rPr>
          <w:sz w:val="24"/>
          <w:szCs w:val="24"/>
        </w:rPr>
      </w:pPr>
      <w:r w:rsidRPr="002C6675">
        <w:rPr>
          <w:sz w:val="24"/>
          <w:szCs w:val="24"/>
        </w:rPr>
        <w:t>Адрес местонахождения: 119034, г. Москва, Гагаринский переулок, дом 3.</w:t>
      </w:r>
    </w:p>
    <w:p w14:paraId="1EA50902" w14:textId="77777777" w:rsidR="002C6675" w:rsidRPr="002C6675" w:rsidRDefault="002C6675" w:rsidP="002C6675">
      <w:pPr>
        <w:rPr>
          <w:sz w:val="24"/>
          <w:szCs w:val="24"/>
        </w:rPr>
      </w:pPr>
      <w:r w:rsidRPr="002C6675">
        <w:rPr>
          <w:sz w:val="24"/>
          <w:szCs w:val="24"/>
        </w:rPr>
        <w:t>Удмуртский РФ АО «Россельхозбанк»,</w:t>
      </w:r>
    </w:p>
    <w:p w14:paraId="3C576319" w14:textId="77777777" w:rsidR="002C6675" w:rsidRPr="002C6675" w:rsidRDefault="002C6675" w:rsidP="002C6675">
      <w:pPr>
        <w:rPr>
          <w:sz w:val="24"/>
          <w:szCs w:val="24"/>
        </w:rPr>
      </w:pPr>
      <w:r w:rsidRPr="002C6675">
        <w:rPr>
          <w:sz w:val="24"/>
          <w:szCs w:val="24"/>
        </w:rPr>
        <w:t>Адрес местонахождения: 426000, г. Ижевск, ул. Пушкинская, д. 265, корп. 1</w:t>
      </w:r>
    </w:p>
    <w:p w14:paraId="7F8199F5" w14:textId="77777777" w:rsidR="002C6675" w:rsidRPr="002C6675" w:rsidRDefault="002C6675" w:rsidP="002C6675">
      <w:pPr>
        <w:rPr>
          <w:sz w:val="24"/>
          <w:szCs w:val="24"/>
        </w:rPr>
      </w:pPr>
      <w:r w:rsidRPr="002C6675">
        <w:rPr>
          <w:sz w:val="24"/>
          <w:szCs w:val="24"/>
        </w:rPr>
        <w:t>ИНН/КПП: 7725114488/231002002; БИК: 040349536; КПП 049401710;</w:t>
      </w:r>
    </w:p>
    <w:p w14:paraId="29FC5114" w14:textId="77777777" w:rsidR="002C6675" w:rsidRPr="002C6675" w:rsidRDefault="002C6675" w:rsidP="002C6675">
      <w:pPr>
        <w:rPr>
          <w:sz w:val="24"/>
          <w:szCs w:val="24"/>
        </w:rPr>
      </w:pPr>
      <w:r w:rsidRPr="002C6675">
        <w:rPr>
          <w:sz w:val="24"/>
          <w:szCs w:val="24"/>
        </w:rPr>
        <w:t>Кор.счет:  30101810100000000710;</w:t>
      </w:r>
    </w:p>
    <w:p w14:paraId="431B6113" w14:textId="4FBF3685" w:rsidR="001A48DE" w:rsidRDefault="002C6675" w:rsidP="002C6675">
      <w:pPr>
        <w:rPr>
          <w:sz w:val="24"/>
          <w:szCs w:val="24"/>
        </w:rPr>
      </w:pPr>
      <w:r w:rsidRPr="002C6675">
        <w:rPr>
          <w:sz w:val="24"/>
          <w:szCs w:val="24"/>
        </w:rPr>
        <w:t>Наименование банка, в котором открыт кор/счёт: в ГРКЦ НБ УР, г. Ижевск</w:t>
      </w:r>
    </w:p>
    <w:p w14:paraId="65B37DD0" w14:textId="77777777" w:rsidR="002C6675" w:rsidRDefault="002C6675" w:rsidP="002C6675">
      <w:pPr>
        <w:rPr>
          <w:sz w:val="24"/>
          <w:szCs w:val="24"/>
        </w:rPr>
      </w:pPr>
    </w:p>
    <w:p w14:paraId="13194E88" w14:textId="0295F49E" w:rsidR="0051726C" w:rsidRPr="00E90195" w:rsidRDefault="00424E22" w:rsidP="00A13974">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A85127" w14:textId="77777777" w:rsidR="003C0393" w:rsidRPr="003C0393" w:rsidRDefault="003C0393" w:rsidP="003C0393">
      <w:pPr>
        <w:jc w:val="both"/>
        <w:rPr>
          <w:sz w:val="24"/>
          <w:szCs w:val="24"/>
        </w:rPr>
      </w:pPr>
      <w:r w:rsidRPr="003C0393">
        <w:rPr>
          <w:b/>
          <w:bCs/>
          <w:sz w:val="24"/>
          <w:szCs w:val="24"/>
        </w:rPr>
        <w:lastRenderedPageBreak/>
        <w:t xml:space="preserve">Шаг аукциона «на повышение»: </w:t>
      </w:r>
      <w:r w:rsidRPr="003C0393">
        <w:rPr>
          <w:sz w:val="24"/>
          <w:szCs w:val="24"/>
        </w:rPr>
        <w:t>1 (Один)% от начальной цены реализации.</w:t>
      </w:r>
    </w:p>
    <w:p w14:paraId="103E2D2C" w14:textId="77777777" w:rsidR="003C0393" w:rsidRPr="003C0393" w:rsidRDefault="003C0393" w:rsidP="003C0393">
      <w:pPr>
        <w:jc w:val="both"/>
        <w:rPr>
          <w:b/>
          <w:bCs/>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E7F872D" w14:textId="0ABDB5F6" w:rsidR="003C0393" w:rsidRDefault="003C0393" w:rsidP="003C0393">
      <w:pPr>
        <w:jc w:val="both"/>
        <w:rPr>
          <w:b/>
          <w:bCs/>
          <w:sz w:val="24"/>
          <w:szCs w:val="24"/>
        </w:rPr>
      </w:pPr>
      <w:r w:rsidRPr="003C0393">
        <w:rPr>
          <w:b/>
          <w:bCs/>
          <w:sz w:val="24"/>
          <w:szCs w:val="24"/>
        </w:rPr>
        <w:t xml:space="preserve">Размер обеспечения Заявки на участие в Торговой процедуре: </w:t>
      </w:r>
      <w:r w:rsidRPr="003C0393">
        <w:rPr>
          <w:sz w:val="24"/>
          <w:szCs w:val="24"/>
        </w:rPr>
        <w:t xml:space="preserve">5 (пять)% от </w:t>
      </w:r>
      <w:r w:rsidR="008B4FCC">
        <w:rPr>
          <w:sz w:val="24"/>
          <w:szCs w:val="24"/>
        </w:rPr>
        <w:t xml:space="preserve">начальной </w:t>
      </w:r>
      <w:r w:rsidR="00184FF1">
        <w:rPr>
          <w:sz w:val="24"/>
          <w:szCs w:val="24"/>
        </w:rPr>
        <w:t xml:space="preserve">стоимости </w:t>
      </w:r>
      <w:r w:rsidR="00D34E66">
        <w:rPr>
          <w:sz w:val="24"/>
          <w:szCs w:val="24"/>
        </w:rPr>
        <w:t>лота</w:t>
      </w:r>
      <w:r w:rsidR="003517EB">
        <w:rPr>
          <w:sz w:val="24"/>
          <w:szCs w:val="24"/>
        </w:rPr>
        <w:t>.</w:t>
      </w:r>
    </w:p>
    <w:p w14:paraId="182D010A" w14:textId="77777777" w:rsidR="003C0393" w:rsidRDefault="003C0393"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r w:rsidR="001A48DE" w:rsidRPr="001A48DE">
        <w:rPr>
          <w:bCs/>
          <w:sz w:val="24"/>
          <w:szCs w:val="24"/>
          <w:u w:val="single"/>
          <w:lang w:val="en-US"/>
        </w:rPr>
        <w:t>alfalot</w:t>
      </w:r>
      <w:r w:rsidR="001A48DE" w:rsidRPr="001A48DE">
        <w:rPr>
          <w:bCs/>
          <w:sz w:val="24"/>
          <w:szCs w:val="24"/>
          <w:u w:val="single"/>
        </w:rPr>
        <w:t>.</w:t>
      </w:r>
      <w:r w:rsidR="001A48DE" w:rsidRPr="001A48DE">
        <w:rPr>
          <w:bCs/>
          <w:sz w:val="24"/>
          <w:szCs w:val="24"/>
          <w:u w:val="single"/>
          <w:lang w:val="en-US"/>
        </w:rPr>
        <w:t>ru</w:t>
      </w:r>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36FB4E0C"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Pr="001A48DE">
        <w:rPr>
          <w:sz w:val="24"/>
          <w:szCs w:val="24"/>
        </w:rPr>
        <w:t xml:space="preserve">не позднее </w:t>
      </w:r>
      <w:r w:rsidR="002C6675">
        <w:rPr>
          <w:sz w:val="24"/>
          <w:szCs w:val="24"/>
        </w:rPr>
        <w:t xml:space="preserve">5 </w:t>
      </w:r>
      <w:r w:rsidR="00184FF1" w:rsidRPr="00184FF1">
        <w:rPr>
          <w:sz w:val="24"/>
          <w:szCs w:val="24"/>
        </w:rPr>
        <w:t>(</w:t>
      </w:r>
      <w:r w:rsidR="002C6675">
        <w:rPr>
          <w:sz w:val="24"/>
          <w:szCs w:val="24"/>
        </w:rPr>
        <w:t>пят</w:t>
      </w:r>
      <w:r w:rsidR="00184FF1" w:rsidRPr="00184FF1">
        <w:rPr>
          <w:sz w:val="24"/>
          <w:szCs w:val="24"/>
        </w:rPr>
        <w:t xml:space="preserve">и) рабочих дней </w:t>
      </w:r>
      <w:r w:rsidRPr="001A48DE">
        <w:rPr>
          <w:sz w:val="24"/>
          <w:szCs w:val="24"/>
        </w:rPr>
        <w:t>со дня размещения протокола о результатах торгов.</w:t>
      </w:r>
    </w:p>
    <w:p w14:paraId="4C84CD19" w14:textId="77777777" w:rsidR="001A48DE" w:rsidRPr="001A48DE" w:rsidRDefault="001A48DE" w:rsidP="001A48DE">
      <w:pPr>
        <w:widowControl w:val="0"/>
        <w:rPr>
          <w:b/>
          <w:bCs/>
          <w:sz w:val="24"/>
          <w:szCs w:val="24"/>
        </w:rPr>
      </w:pPr>
    </w:p>
    <w:p w14:paraId="4EF4B1FC" w14:textId="61EDE7D1"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не более 10 (десяти) календарных дней, с</w:t>
      </w:r>
      <w:r w:rsidR="001A4322">
        <w:rPr>
          <w:sz w:val="24"/>
          <w:szCs w:val="24"/>
        </w:rPr>
        <w:t xml:space="preserve"> даты</w:t>
      </w:r>
      <w:r w:rsidRPr="001A48DE">
        <w:rPr>
          <w:sz w:val="24"/>
          <w:szCs w:val="24"/>
        </w:rPr>
        <w:t xml:space="preserve"> заключения договора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923" w:type="dxa"/>
        <w:tblInd w:w="-5" w:type="dxa"/>
        <w:tblLayout w:type="fixed"/>
        <w:tblLook w:val="04A0" w:firstRow="1" w:lastRow="0" w:firstColumn="1" w:lastColumn="0" w:noHBand="0" w:noVBand="1"/>
      </w:tblPr>
      <w:tblGrid>
        <w:gridCol w:w="709"/>
        <w:gridCol w:w="4394"/>
        <w:gridCol w:w="1701"/>
        <w:gridCol w:w="1560"/>
        <w:gridCol w:w="1559"/>
      </w:tblGrid>
      <w:tr w:rsidR="002C6675" w14:paraId="1EA23A82" w14:textId="77777777" w:rsidTr="002C6675">
        <w:tc>
          <w:tcPr>
            <w:tcW w:w="709" w:type="dxa"/>
            <w:tcBorders>
              <w:top w:val="single" w:sz="4" w:space="0" w:color="auto"/>
              <w:left w:val="single" w:sz="4" w:space="0" w:color="auto"/>
              <w:bottom w:val="single" w:sz="4" w:space="0" w:color="auto"/>
              <w:right w:val="single" w:sz="4" w:space="0" w:color="auto"/>
            </w:tcBorders>
            <w:hideMark/>
          </w:tcPr>
          <w:p w14:paraId="139D8AB7" w14:textId="77777777" w:rsidR="002C6675" w:rsidRDefault="002C6675">
            <w:pPr>
              <w:jc w:val="center"/>
            </w:pPr>
            <w:r>
              <w:t>№ лота</w:t>
            </w:r>
          </w:p>
        </w:tc>
        <w:tc>
          <w:tcPr>
            <w:tcW w:w="4394" w:type="dxa"/>
            <w:tcBorders>
              <w:top w:val="single" w:sz="4" w:space="0" w:color="auto"/>
              <w:left w:val="single" w:sz="4" w:space="0" w:color="auto"/>
              <w:bottom w:val="single" w:sz="4" w:space="0" w:color="auto"/>
              <w:right w:val="single" w:sz="4" w:space="0" w:color="auto"/>
            </w:tcBorders>
            <w:hideMark/>
          </w:tcPr>
          <w:p w14:paraId="1DDF4D33" w14:textId="77777777" w:rsidR="002C6675" w:rsidRDefault="002C6675">
            <w:pPr>
              <w:jc w:val="center"/>
            </w:pPr>
            <w:r>
              <w:t>Наименование и средства</w:t>
            </w:r>
          </w:p>
          <w:p w14:paraId="1AA15248" w14:textId="77777777" w:rsidR="002C6675" w:rsidRDefault="002C6675">
            <w:pPr>
              <w:jc w:val="center"/>
            </w:pPr>
            <w:r>
              <w:t>идентификации объекта</w:t>
            </w:r>
          </w:p>
        </w:tc>
        <w:tc>
          <w:tcPr>
            <w:tcW w:w="1701" w:type="dxa"/>
            <w:tcBorders>
              <w:top w:val="single" w:sz="4" w:space="0" w:color="auto"/>
              <w:left w:val="single" w:sz="4" w:space="0" w:color="auto"/>
              <w:bottom w:val="single" w:sz="4" w:space="0" w:color="auto"/>
              <w:right w:val="single" w:sz="4" w:space="0" w:color="auto"/>
            </w:tcBorders>
            <w:hideMark/>
          </w:tcPr>
          <w:p w14:paraId="39DE42D6" w14:textId="77777777" w:rsidR="002C6675" w:rsidRDefault="002C6675">
            <w:pPr>
              <w:jc w:val="center"/>
            </w:pPr>
            <w:r>
              <w:t>Начальная цена</w:t>
            </w:r>
          </w:p>
          <w:p w14:paraId="1EB6EBCD" w14:textId="3A90F4BA" w:rsidR="002C6675" w:rsidRDefault="0015339A">
            <w:pPr>
              <w:jc w:val="center"/>
            </w:pPr>
            <w:r>
              <w:t>Р</w:t>
            </w:r>
            <w:r w:rsidR="002C6675">
              <w:t>еализации</w:t>
            </w:r>
            <w:r>
              <w:t xml:space="preserve"> </w:t>
            </w:r>
            <w:r w:rsidR="00EC0D00">
              <w:t>объекта</w:t>
            </w:r>
            <w:r w:rsidR="002C6675">
              <w:t>, руб.</w:t>
            </w:r>
          </w:p>
        </w:tc>
        <w:tc>
          <w:tcPr>
            <w:tcW w:w="1560" w:type="dxa"/>
            <w:tcBorders>
              <w:top w:val="single" w:sz="4" w:space="0" w:color="auto"/>
              <w:left w:val="single" w:sz="4" w:space="0" w:color="auto"/>
              <w:bottom w:val="single" w:sz="4" w:space="0" w:color="auto"/>
              <w:right w:val="single" w:sz="4" w:space="0" w:color="auto"/>
            </w:tcBorders>
            <w:hideMark/>
          </w:tcPr>
          <w:p w14:paraId="6A80EC10" w14:textId="77777777" w:rsidR="002C6675" w:rsidRDefault="002C6675">
            <w:pPr>
              <w:jc w:val="center"/>
            </w:pPr>
            <w:r>
              <w:t>Сведения о</w:t>
            </w:r>
          </w:p>
          <w:p w14:paraId="6EED24C9" w14:textId="77777777" w:rsidR="002C6675" w:rsidRDefault="002C6675">
            <w:pPr>
              <w:jc w:val="center"/>
            </w:pPr>
            <w:r>
              <w:t>правоустанавливающих</w:t>
            </w:r>
          </w:p>
          <w:p w14:paraId="1AA92058" w14:textId="77777777" w:rsidR="002C6675" w:rsidRDefault="002C6675">
            <w:pPr>
              <w:jc w:val="center"/>
            </w:pPr>
            <w:r>
              <w:t>документах</w:t>
            </w:r>
          </w:p>
        </w:tc>
        <w:tc>
          <w:tcPr>
            <w:tcW w:w="1559" w:type="dxa"/>
            <w:tcBorders>
              <w:top w:val="single" w:sz="4" w:space="0" w:color="auto"/>
              <w:left w:val="single" w:sz="4" w:space="0" w:color="auto"/>
              <w:bottom w:val="single" w:sz="4" w:space="0" w:color="auto"/>
              <w:right w:val="single" w:sz="4" w:space="0" w:color="auto"/>
            </w:tcBorders>
            <w:hideMark/>
          </w:tcPr>
          <w:p w14:paraId="654A840B" w14:textId="77777777" w:rsidR="002C6675" w:rsidRDefault="002C6675">
            <w:pPr>
              <w:jc w:val="center"/>
            </w:pPr>
            <w:r>
              <w:t>Сведения об обременениях</w:t>
            </w:r>
          </w:p>
          <w:p w14:paraId="76B87D0C" w14:textId="77777777" w:rsidR="002C6675" w:rsidRDefault="002C6675">
            <w:pPr>
              <w:jc w:val="center"/>
            </w:pPr>
            <w:r>
              <w:t>третьих лиц</w:t>
            </w:r>
          </w:p>
        </w:tc>
      </w:tr>
      <w:tr w:rsidR="002C6675" w14:paraId="56C9B57C" w14:textId="77777777" w:rsidTr="002C6675">
        <w:tc>
          <w:tcPr>
            <w:tcW w:w="709" w:type="dxa"/>
            <w:tcBorders>
              <w:top w:val="single" w:sz="4" w:space="0" w:color="auto"/>
              <w:left w:val="single" w:sz="4" w:space="0" w:color="auto"/>
              <w:bottom w:val="single" w:sz="4" w:space="0" w:color="auto"/>
              <w:right w:val="single" w:sz="4" w:space="0" w:color="auto"/>
            </w:tcBorders>
            <w:hideMark/>
          </w:tcPr>
          <w:p w14:paraId="50AB5E86" w14:textId="77777777" w:rsidR="002C6675" w:rsidRDefault="002C6675">
            <w:pPr>
              <w:jc w:val="center"/>
            </w:pPr>
            <w:r>
              <w:t>1</w:t>
            </w:r>
          </w:p>
        </w:tc>
        <w:tc>
          <w:tcPr>
            <w:tcW w:w="4394" w:type="dxa"/>
            <w:tcBorders>
              <w:top w:val="single" w:sz="4" w:space="0" w:color="auto"/>
              <w:left w:val="single" w:sz="4" w:space="0" w:color="auto"/>
              <w:bottom w:val="single" w:sz="4" w:space="0" w:color="auto"/>
              <w:right w:val="single" w:sz="4" w:space="0" w:color="auto"/>
            </w:tcBorders>
          </w:tcPr>
          <w:p w14:paraId="59561797" w14:textId="77777777" w:rsidR="002C6675" w:rsidRDefault="002C6675">
            <w:pPr>
              <w:jc w:val="both"/>
            </w:pPr>
            <w:r>
              <w:t xml:space="preserve">Жилой дом площадью 114 кв.м., кадастровый номер 18:01:064001:297 и земельный участок площадью 3400 кв.м., кадастровый номер 18:01:064001:164, с категорией земель: земли населенных пунктов, для ведения личного подсобного хозяйства, расположенные по адресу: Удмуртская Республика, Алнашский район, д. Нижнее Асаново, пер. Лесной, д. 1. </w:t>
            </w:r>
          </w:p>
          <w:p w14:paraId="56D3DEAF" w14:textId="77777777" w:rsidR="002C6675" w:rsidRDefault="002C6675">
            <w:pPr>
              <w:jc w:val="both"/>
            </w:pPr>
          </w:p>
        </w:tc>
        <w:tc>
          <w:tcPr>
            <w:tcW w:w="1701" w:type="dxa"/>
            <w:tcBorders>
              <w:top w:val="single" w:sz="4" w:space="0" w:color="auto"/>
              <w:left w:val="single" w:sz="4" w:space="0" w:color="auto"/>
              <w:bottom w:val="single" w:sz="4" w:space="0" w:color="auto"/>
              <w:right w:val="single" w:sz="4" w:space="0" w:color="auto"/>
            </w:tcBorders>
            <w:hideMark/>
          </w:tcPr>
          <w:p w14:paraId="1912CFD2" w14:textId="77777777" w:rsidR="002C6675" w:rsidRDefault="002C6675" w:rsidP="002C6675">
            <w:pPr>
              <w:jc w:val="center"/>
            </w:pPr>
            <w:r>
              <w:t>1 938 000 (Один миллион девятьсот тридцать восемь тысяч) рублей 00 копеек</w:t>
            </w:r>
          </w:p>
        </w:tc>
        <w:tc>
          <w:tcPr>
            <w:tcW w:w="1560" w:type="dxa"/>
            <w:tcBorders>
              <w:top w:val="single" w:sz="4" w:space="0" w:color="auto"/>
              <w:left w:val="single" w:sz="4" w:space="0" w:color="auto"/>
              <w:bottom w:val="single" w:sz="4" w:space="0" w:color="auto"/>
              <w:right w:val="single" w:sz="4" w:space="0" w:color="auto"/>
            </w:tcBorders>
            <w:hideMark/>
          </w:tcPr>
          <w:p w14:paraId="01BB6284" w14:textId="08A7CA21" w:rsidR="002C6675" w:rsidRDefault="002C6675" w:rsidP="002C6675">
            <w:pPr>
              <w:jc w:val="center"/>
              <w:rPr>
                <w:i/>
              </w:rPr>
            </w:pPr>
            <w:r>
              <w:t>Согласно Приложению 1 к Торговой документации</w:t>
            </w:r>
          </w:p>
        </w:tc>
        <w:tc>
          <w:tcPr>
            <w:tcW w:w="1559" w:type="dxa"/>
            <w:tcBorders>
              <w:top w:val="single" w:sz="4" w:space="0" w:color="auto"/>
              <w:left w:val="single" w:sz="4" w:space="0" w:color="auto"/>
              <w:bottom w:val="single" w:sz="4" w:space="0" w:color="auto"/>
              <w:right w:val="single" w:sz="4" w:space="0" w:color="auto"/>
            </w:tcBorders>
          </w:tcPr>
          <w:p w14:paraId="0CBF106A" w14:textId="77777777" w:rsidR="002C6675" w:rsidRDefault="002C6675" w:rsidP="002C6675">
            <w:pPr>
              <w:jc w:val="center"/>
              <w:rPr>
                <w:rFonts w:eastAsiaTheme="minorHAnsi"/>
                <w:highlight w:val="yellow"/>
              </w:rPr>
            </w:pPr>
          </w:p>
          <w:p w14:paraId="18E5574D" w14:textId="77777777" w:rsidR="002C6675" w:rsidRDefault="002C6675" w:rsidP="002C6675">
            <w:pPr>
              <w:jc w:val="center"/>
              <w:rPr>
                <w:highlight w:val="yellow"/>
              </w:rPr>
            </w:pPr>
            <w:r>
              <w:t>Обременения отсутствуют</w:t>
            </w:r>
          </w:p>
          <w:p w14:paraId="3152F690" w14:textId="77777777" w:rsidR="002C6675" w:rsidRDefault="002C6675" w:rsidP="002C6675">
            <w:pPr>
              <w:jc w:val="center"/>
              <w:rPr>
                <w:highlight w:val="yellow"/>
              </w:rPr>
            </w:pPr>
          </w:p>
        </w:tc>
      </w:tr>
    </w:tbl>
    <w:p w14:paraId="128B8234" w14:textId="77777777" w:rsidR="003517EB" w:rsidRDefault="003517EB" w:rsidP="003C0393">
      <w:pPr>
        <w:ind w:firstLine="709"/>
        <w:jc w:val="both"/>
        <w:rPr>
          <w:sz w:val="24"/>
          <w:szCs w:val="24"/>
        </w:rPr>
      </w:pPr>
    </w:p>
    <w:p w14:paraId="2708B224" w14:textId="191489FC" w:rsidR="002C6675" w:rsidRDefault="002C6675" w:rsidP="002C6675">
      <w:pPr>
        <w:ind w:firstLine="709"/>
        <w:jc w:val="both"/>
        <w:rPr>
          <w:sz w:val="24"/>
          <w:szCs w:val="24"/>
        </w:rPr>
      </w:pPr>
      <w:r w:rsidRPr="002C6675">
        <w:rPr>
          <w:sz w:val="24"/>
          <w:szCs w:val="24"/>
        </w:rPr>
        <w:lastRenderedPageBreak/>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sz w:val="24"/>
          <w:szCs w:val="24"/>
        </w:rPr>
        <w:t>Торговой документации</w:t>
      </w:r>
      <w:r w:rsidRPr="002C6675">
        <w:rPr>
          <w:sz w:val="24"/>
          <w:szCs w:val="24"/>
        </w:rPr>
        <w:t>. По вопросу ознакомления обращаться к представителям Принципала: Туев Артем Георгиевич, ведущий специалист отдела по работе с проблемной задолженностью физических лиц Удмуртского РФ, 8 (3412) 63-11-00, вн.2358</w:t>
      </w:r>
      <w:r>
        <w:rPr>
          <w:sz w:val="24"/>
          <w:szCs w:val="24"/>
        </w:rPr>
        <w:t xml:space="preserve">, </w:t>
      </w:r>
      <w:r w:rsidRPr="002C6675">
        <w:rPr>
          <w:sz w:val="24"/>
          <w:szCs w:val="24"/>
        </w:rPr>
        <w:t>+7 919 917 05 15, TuevAG@udm.rshb.ru.</w:t>
      </w:r>
    </w:p>
    <w:p w14:paraId="2AED5666" w14:textId="77777777" w:rsidR="002C6675" w:rsidRDefault="002C6675" w:rsidP="00184FF1">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w:t>
      </w:r>
      <w:r w:rsidRPr="00ED2D85">
        <w:rPr>
          <w:sz w:val="24"/>
          <w:szCs w:val="24"/>
        </w:rPr>
        <w:lastRenderedPageBreak/>
        <w:t xml:space="preserve">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4C99F45B"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3C0393" w:rsidRPr="003C0393">
        <w:rPr>
          <w:sz w:val="24"/>
          <w:szCs w:val="24"/>
        </w:rPr>
        <w:t xml:space="preserve">5 (пять)% от </w:t>
      </w:r>
      <w:r w:rsidR="008B4FCC">
        <w:rPr>
          <w:sz w:val="24"/>
          <w:szCs w:val="24"/>
        </w:rPr>
        <w:t xml:space="preserve">начальной </w:t>
      </w:r>
      <w:r w:rsidR="00184FF1">
        <w:rPr>
          <w:sz w:val="24"/>
          <w:szCs w:val="24"/>
        </w:rPr>
        <w:t xml:space="preserve">стоимости </w:t>
      </w:r>
      <w:r w:rsidR="00D34E66">
        <w:rPr>
          <w:sz w:val="24"/>
          <w:szCs w:val="24"/>
        </w:rPr>
        <w:t>лота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w:t>
      </w:r>
      <w:r w:rsidRPr="00394896">
        <w:rPr>
          <w:sz w:val="24"/>
          <w:szCs w:val="24"/>
        </w:rPr>
        <w:lastRenderedPageBreak/>
        <w:t xml:space="preserve">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2C6675" w14:paraId="7840E7F2" w14:textId="77777777" w:rsidTr="002C6675">
        <w:trPr>
          <w:trHeight w:val="416"/>
        </w:trPr>
        <w:tc>
          <w:tcPr>
            <w:tcW w:w="2554" w:type="dxa"/>
            <w:tcBorders>
              <w:top w:val="single" w:sz="4" w:space="0" w:color="auto"/>
              <w:left w:val="single" w:sz="4" w:space="0" w:color="auto"/>
              <w:bottom w:val="single" w:sz="4" w:space="0" w:color="auto"/>
              <w:right w:val="single" w:sz="4" w:space="0" w:color="auto"/>
            </w:tcBorders>
            <w:hideMark/>
          </w:tcPr>
          <w:p w14:paraId="6949EEA2" w14:textId="77777777" w:rsidR="002C6675" w:rsidRDefault="002C6675">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5454BF00" w14:textId="77777777" w:rsidR="002C6675" w:rsidRDefault="002C6675">
            <w:pPr>
              <w:autoSpaceDE w:val="0"/>
              <w:autoSpaceDN w:val="0"/>
              <w:adjustRightInd w:val="0"/>
              <w:rPr>
                <w:rFonts w:eastAsiaTheme="minorEastAsia"/>
              </w:rPr>
            </w:pPr>
            <w:r>
              <w:t>Торговая процедура в форме аукциона «на повышение» проводится путем</w:t>
            </w:r>
          </w:p>
          <w:p w14:paraId="52305065" w14:textId="77777777" w:rsidR="002C6675" w:rsidRDefault="002C6675">
            <w:pPr>
              <w:autoSpaceDE w:val="0"/>
              <w:autoSpaceDN w:val="0"/>
              <w:adjustRightInd w:val="0"/>
            </w:pPr>
            <w:r>
              <w:t>последовательного повышения участниками аукциона начальной цены продажи на величину, равную либо кратную величине «шага аукциона».</w:t>
            </w:r>
          </w:p>
          <w:p w14:paraId="22891406" w14:textId="77777777" w:rsidR="002C6675" w:rsidRDefault="002C6675">
            <w:pPr>
              <w:autoSpaceDE w:val="0"/>
              <w:autoSpaceDN w:val="0"/>
              <w:adjustRightInd w:val="0"/>
            </w:pPr>
            <w:r>
              <w:t>Торговая процедура в форме аукциона «на повышение» проводится в дату и</w:t>
            </w:r>
          </w:p>
          <w:p w14:paraId="7FD20224" w14:textId="77777777" w:rsidR="002C6675" w:rsidRDefault="002C6675">
            <w:pPr>
              <w:autoSpaceDE w:val="0"/>
              <w:autoSpaceDN w:val="0"/>
              <w:adjustRightInd w:val="0"/>
            </w:pPr>
            <w:r>
              <w:t>время, указанные в Извещении.</w:t>
            </w:r>
          </w:p>
          <w:p w14:paraId="36A928B9" w14:textId="77777777" w:rsidR="002C6675" w:rsidRDefault="002C6675">
            <w:pPr>
              <w:autoSpaceDE w:val="0"/>
              <w:autoSpaceDN w:val="0"/>
              <w:adjustRightInd w:val="0"/>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128C0E9C" w14:textId="77777777" w:rsidR="002C6675" w:rsidRDefault="002C6675">
            <w:pPr>
              <w:autoSpaceDE w:val="0"/>
              <w:autoSpaceDN w:val="0"/>
              <w:adjustRightInd w:val="0"/>
            </w:pPr>
            <w:r>
              <w:t>- прием Заявок на участие в Торговой процедуре;</w:t>
            </w:r>
          </w:p>
          <w:p w14:paraId="22194280" w14:textId="77777777" w:rsidR="002C6675" w:rsidRDefault="002C6675">
            <w:pPr>
              <w:autoSpaceDE w:val="0"/>
              <w:autoSpaceDN w:val="0"/>
              <w:adjustRightInd w:val="0"/>
            </w:pPr>
            <w:r>
              <w:t>- прием обеспечения заявки на участие в Торговой процедуре в форме аукциона «на повышение» от Заявителей;</w:t>
            </w:r>
          </w:p>
          <w:p w14:paraId="3E18FB72" w14:textId="77777777" w:rsidR="002C6675" w:rsidRDefault="002C6675">
            <w:pPr>
              <w:autoSpaceDE w:val="0"/>
              <w:autoSpaceDN w:val="0"/>
              <w:adjustRightInd w:val="0"/>
            </w:pPr>
            <w:r>
              <w:lastRenderedPageBreak/>
              <w:t>- рассмотрение заявок, определение состава Претендентов на участие в Торговой процедуре в форме аукциона «на повышение»;</w:t>
            </w:r>
          </w:p>
          <w:p w14:paraId="5F73212C" w14:textId="77777777" w:rsidR="002C6675" w:rsidRDefault="002C6675">
            <w:pPr>
              <w:autoSpaceDE w:val="0"/>
              <w:autoSpaceDN w:val="0"/>
              <w:adjustRightInd w:val="0"/>
            </w:pPr>
            <w:r>
              <w:t>- подведение итогов Торговой процедуры в форме аукциона «на повышение»,</w:t>
            </w:r>
          </w:p>
          <w:p w14:paraId="5ECC903D" w14:textId="77777777" w:rsidR="002C6675" w:rsidRDefault="002C6675">
            <w:pPr>
              <w:autoSpaceDE w:val="0"/>
              <w:autoSpaceDN w:val="0"/>
              <w:adjustRightInd w:val="0"/>
            </w:pPr>
            <w:r>
              <w:t>размещение протокола об итогах аукциона «на повышение»;</w:t>
            </w:r>
          </w:p>
          <w:p w14:paraId="68C66CA5" w14:textId="77777777" w:rsidR="002C6675" w:rsidRDefault="002C6675">
            <w:pPr>
              <w:autoSpaceDE w:val="0"/>
              <w:autoSpaceDN w:val="0"/>
              <w:adjustRightInd w:val="0"/>
            </w:pPr>
            <w:r>
              <w:t>- возврат обеспечения заявки на участие в Торговой процедуре проигравшим</w:t>
            </w:r>
          </w:p>
          <w:p w14:paraId="1F42D2C8" w14:textId="77777777" w:rsidR="002C6675" w:rsidRDefault="002C6675">
            <w:pPr>
              <w:autoSpaceDE w:val="0"/>
              <w:autoSpaceDN w:val="0"/>
              <w:adjustRightInd w:val="0"/>
            </w:pPr>
            <w:r>
              <w:t>Претендентам;</w:t>
            </w:r>
          </w:p>
          <w:p w14:paraId="619CF827" w14:textId="77777777" w:rsidR="002C6675" w:rsidRDefault="002C6675">
            <w:pPr>
              <w:autoSpaceDE w:val="0"/>
              <w:autoSpaceDN w:val="0"/>
              <w:adjustRightInd w:val="0"/>
            </w:pPr>
            <w:r>
              <w:t>- перечисление суммы обеспечения заявки на участие в Торговой процедуре</w:t>
            </w:r>
          </w:p>
          <w:p w14:paraId="5DE8E488" w14:textId="77777777" w:rsidR="002C6675" w:rsidRDefault="002C6675">
            <w:pPr>
              <w:autoSpaceDE w:val="0"/>
              <w:autoSpaceDN w:val="0"/>
              <w:adjustRightInd w:val="0"/>
            </w:pPr>
            <w:r>
              <w:t>Победителя аукциона «на повышение» Принципалу;</w:t>
            </w:r>
          </w:p>
          <w:p w14:paraId="4A94129E" w14:textId="77777777" w:rsidR="002C6675" w:rsidRDefault="002C6675">
            <w:pPr>
              <w:autoSpaceDE w:val="0"/>
              <w:autoSpaceDN w:val="0"/>
              <w:adjustRightInd w:val="0"/>
            </w:pPr>
            <w:r>
              <w:t>- иные мероприятия, предусмотренные настоящим Договором и</w:t>
            </w:r>
          </w:p>
          <w:p w14:paraId="2D9B0FBE" w14:textId="77777777" w:rsidR="002C6675" w:rsidRDefault="002C6675">
            <w:pPr>
              <w:autoSpaceDE w:val="0"/>
              <w:autoSpaceDN w:val="0"/>
              <w:adjustRightInd w:val="0"/>
            </w:pPr>
            <w:r>
              <w:t>законодательством Российской Федерации.</w:t>
            </w:r>
          </w:p>
          <w:p w14:paraId="30B7A56B" w14:textId="77777777" w:rsidR="002C6675" w:rsidRDefault="002C6675">
            <w:pPr>
              <w:autoSpaceDE w:val="0"/>
              <w:autoSpaceDN w:val="0"/>
              <w:adjustRightInd w:val="0"/>
            </w:pPr>
            <w:r>
              <w:t>Аукцион «на повышение» признается несостоявшимся в следующих случаях:</w:t>
            </w:r>
          </w:p>
          <w:p w14:paraId="1051D8F5" w14:textId="77777777" w:rsidR="002C6675" w:rsidRDefault="002C6675">
            <w:pPr>
              <w:autoSpaceDE w:val="0"/>
              <w:autoSpaceDN w:val="0"/>
              <w:adjustRightInd w:val="0"/>
            </w:pPr>
            <w:r>
              <w:t>- не было подано ни одной заявки на участие либо ни один из Заявителей не</w:t>
            </w:r>
          </w:p>
          <w:p w14:paraId="2EFCF5BD" w14:textId="77777777" w:rsidR="002C6675" w:rsidRDefault="002C6675">
            <w:pPr>
              <w:autoSpaceDE w:val="0"/>
              <w:autoSpaceDN w:val="0"/>
              <w:adjustRightInd w:val="0"/>
            </w:pPr>
            <w:r>
              <w:t>признан участником аукциона;</w:t>
            </w:r>
          </w:p>
          <w:p w14:paraId="396C191F" w14:textId="77777777" w:rsidR="002C6675" w:rsidRDefault="002C6675">
            <w:pPr>
              <w:autoSpaceDE w:val="0"/>
              <w:autoSpaceDN w:val="0"/>
              <w:adjustRightInd w:val="0"/>
            </w:pPr>
            <w:r>
              <w:t>- принято решение о признании только одного Заявителя участником аукциона;</w:t>
            </w:r>
          </w:p>
          <w:p w14:paraId="030C7C5A" w14:textId="77777777" w:rsidR="002C6675" w:rsidRDefault="002C6675">
            <w:pPr>
              <w:autoSpaceDE w:val="0"/>
              <w:autoSpaceDN w:val="0"/>
              <w:adjustRightInd w:val="0"/>
            </w:pPr>
            <w:r>
              <w:t>- ни один из Претендентов не сделал предложение о приобретении объекта по</w:t>
            </w:r>
          </w:p>
          <w:p w14:paraId="110B441E" w14:textId="77777777" w:rsidR="002C6675" w:rsidRDefault="002C6675">
            <w:pPr>
              <w:tabs>
                <w:tab w:val="left" w:pos="29"/>
              </w:tabs>
              <w:autoSpaceDE w:val="0"/>
              <w:autoSpaceDN w:val="0"/>
              <w:adjustRightInd w:val="0"/>
              <w:ind w:firstLine="29"/>
              <w:jc w:val="both"/>
              <w:rPr>
                <w:rFonts w:eastAsia="Calibri"/>
              </w:rPr>
            </w:pPr>
            <w:r>
              <w:t>начальной цене продажи.</w:t>
            </w:r>
          </w:p>
        </w:tc>
      </w:tr>
      <w:tr w:rsidR="002C6675" w14:paraId="42468FCC" w14:textId="77777777" w:rsidTr="002C6675">
        <w:tc>
          <w:tcPr>
            <w:tcW w:w="2554" w:type="dxa"/>
            <w:tcBorders>
              <w:top w:val="single" w:sz="4" w:space="0" w:color="auto"/>
              <w:left w:val="single" w:sz="4" w:space="0" w:color="auto"/>
              <w:bottom w:val="single" w:sz="4" w:space="0" w:color="auto"/>
              <w:right w:val="single" w:sz="4" w:space="0" w:color="auto"/>
            </w:tcBorders>
            <w:hideMark/>
          </w:tcPr>
          <w:p w14:paraId="6D0F36D5" w14:textId="77777777" w:rsidR="002C6675" w:rsidRDefault="002C6675">
            <w:pPr>
              <w:autoSpaceDE w:val="0"/>
              <w:autoSpaceDN w:val="0"/>
              <w:adjustRightInd w:val="0"/>
              <w:jc w:val="both"/>
              <w:rPr>
                <w:rFonts w:eastAsia="Calibri"/>
                <w:b/>
              </w:rPr>
            </w:pPr>
            <w:r>
              <w:rPr>
                <w:rFonts w:eastAsia="Calibri"/>
              </w:rPr>
              <w:lastRenderedPageBreak/>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BB77665" w14:textId="77777777" w:rsidR="002C6675" w:rsidRDefault="002C6675">
            <w:pPr>
              <w:autoSpaceDE w:val="0"/>
              <w:autoSpaceDN w:val="0"/>
              <w:adjustRightInd w:val="0"/>
              <w:rPr>
                <w:rFonts w:eastAsiaTheme="minorEastAsia"/>
              </w:rPr>
            </w:pPr>
            <w:r>
              <w:t>Не менее чем за 30 (тридцать) календарных дней до объявленной даты</w:t>
            </w:r>
          </w:p>
          <w:p w14:paraId="48460BFC" w14:textId="77777777" w:rsidR="002C6675" w:rsidRDefault="002C6675">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2C6675" w14:paraId="2B3FFF78" w14:textId="77777777" w:rsidTr="002C6675">
        <w:trPr>
          <w:trHeight w:val="674"/>
        </w:trPr>
        <w:tc>
          <w:tcPr>
            <w:tcW w:w="2554" w:type="dxa"/>
            <w:tcBorders>
              <w:top w:val="single" w:sz="4" w:space="0" w:color="auto"/>
              <w:left w:val="single" w:sz="4" w:space="0" w:color="auto"/>
              <w:bottom w:val="single" w:sz="4" w:space="0" w:color="auto"/>
              <w:right w:val="single" w:sz="4" w:space="0" w:color="auto"/>
            </w:tcBorders>
            <w:hideMark/>
          </w:tcPr>
          <w:p w14:paraId="2807695D" w14:textId="77777777" w:rsidR="002C6675" w:rsidRDefault="002C6675">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3F61EFF9" w14:textId="77777777" w:rsidR="002C6675" w:rsidRDefault="002C6675">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2C6675" w14:paraId="5E341385"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51387A88" w14:textId="77777777" w:rsidR="002C6675" w:rsidRDefault="002C6675">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EC1885F" w14:textId="77777777" w:rsidR="002C6675" w:rsidRDefault="002C6675">
            <w:pPr>
              <w:autoSpaceDE w:val="0"/>
              <w:autoSpaceDN w:val="0"/>
              <w:adjustRightInd w:val="0"/>
              <w:rPr>
                <w:rFonts w:eastAsiaTheme="minorEastAsia"/>
              </w:rPr>
            </w:pPr>
            <w:r>
              <w:t>Общая продолжительность приема Заявок на участие в Торговых процедурах</w:t>
            </w:r>
          </w:p>
          <w:p w14:paraId="6199A3F7" w14:textId="77777777" w:rsidR="002C6675" w:rsidRDefault="002C6675">
            <w:pPr>
              <w:autoSpaceDE w:val="0"/>
              <w:autoSpaceDN w:val="0"/>
              <w:adjustRightInd w:val="0"/>
              <w:rPr>
                <w:rFonts w:eastAsia="Calibri"/>
                <w:b/>
              </w:rPr>
            </w:pPr>
            <w: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2C6675" w14:paraId="651BAC19"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0EDDB886" w14:textId="77777777" w:rsidR="002C6675" w:rsidRDefault="002C6675">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6AFCB309" w14:textId="77777777" w:rsidR="002C6675" w:rsidRDefault="002C6675">
            <w:pPr>
              <w:widowControl w:val="0"/>
              <w:ind w:firstLine="33"/>
              <w:jc w:val="both"/>
              <w:rPr>
                <w:rFonts w:eastAsia="Calibri"/>
              </w:rPr>
            </w:pPr>
            <w:bookmarkStart w:id="7" w:name="OLE_LINK126"/>
            <w:bookmarkStart w:id="8" w:name="OLE_LINK125"/>
            <w:bookmarkStart w:id="9" w:name="OLE_LINK63"/>
            <w:bookmarkStart w:id="10" w:name="OLE_LINK124"/>
            <w:bookmarkStart w:id="11" w:name="OLE_LINK123"/>
            <w:r>
              <w:rPr>
                <w:rFonts w:eastAsia="Calibri"/>
              </w:rPr>
              <w:t xml:space="preserve">- </w:t>
            </w:r>
            <w:bookmarkStart w:id="12" w:name="OLE_LINK128"/>
            <w:bookmarkStart w:id="13"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7B6D4F9C" w14:textId="77777777" w:rsidR="002C6675" w:rsidRDefault="002C6675">
            <w:pPr>
              <w:widowControl w:val="0"/>
              <w:ind w:firstLine="33"/>
              <w:jc w:val="both"/>
              <w:rPr>
                <w:rFonts w:eastAsia="Calibri"/>
              </w:rPr>
            </w:pPr>
            <w:r>
              <w:rPr>
                <w:rFonts w:eastAsia="Calibri"/>
              </w:rPr>
              <w:t xml:space="preserve">- </w:t>
            </w:r>
            <w:bookmarkStart w:id="14" w:name="OLE_LINK129"/>
            <w:r>
              <w:rPr>
                <w:rFonts w:eastAsia="Calibri"/>
              </w:rPr>
              <w:t>копии учредительных документов, заверенные уполномоченным лицом и печатью общества (юридического лица);</w:t>
            </w:r>
            <w:bookmarkEnd w:id="14"/>
          </w:p>
          <w:p w14:paraId="2B9410E1" w14:textId="77777777" w:rsidR="002C6675" w:rsidRDefault="002C6675">
            <w:pPr>
              <w:widowControl w:val="0"/>
              <w:ind w:firstLine="33"/>
              <w:jc w:val="both"/>
              <w:rPr>
                <w:rFonts w:eastAsia="Calibri"/>
              </w:rPr>
            </w:pPr>
            <w:bookmarkStart w:id="15"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6A584F4B" w14:textId="77777777" w:rsidR="002C6675" w:rsidRDefault="002C6675">
            <w:pPr>
              <w:widowControl w:val="0"/>
              <w:ind w:firstLine="33"/>
              <w:jc w:val="both"/>
              <w:rPr>
                <w:rFonts w:eastAsia="Calibri"/>
              </w:rPr>
            </w:pPr>
            <w:bookmarkStart w:id="16" w:name="OLE_LINK132"/>
            <w:bookmarkStart w:id="17" w:name="OLE_LINK131"/>
            <w:r>
              <w:rPr>
                <w:rFonts w:eastAsia="Calibri"/>
              </w:rPr>
              <w:t xml:space="preserve">- </w:t>
            </w:r>
            <w:bookmarkStart w:id="18"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7A4D8204" w14:textId="1F3857B5" w:rsidR="002C6675" w:rsidRDefault="002C6675">
            <w:pPr>
              <w:widowControl w:val="0"/>
              <w:ind w:firstLine="33"/>
              <w:jc w:val="both"/>
              <w:rPr>
                <w:rFonts w:eastAsia="Calibri"/>
              </w:rPr>
            </w:pPr>
            <w:r>
              <w:rPr>
                <w:rFonts w:eastAsia="Calibri"/>
              </w:rPr>
              <w:t>- согласие на обработку ПД (приложение 3 к Торговой документации);</w:t>
            </w:r>
          </w:p>
          <w:p w14:paraId="58E6DBFE" w14:textId="77777777" w:rsidR="002C6675" w:rsidRDefault="002C6675">
            <w:pPr>
              <w:widowControl w:val="0"/>
              <w:ind w:firstLine="33"/>
              <w:jc w:val="both"/>
              <w:rPr>
                <w:rFonts w:eastAsia="Calibri"/>
              </w:rPr>
            </w:pPr>
            <w:bookmarkStart w:id="19" w:name="OLE_LINK134"/>
            <w:r>
              <w:rPr>
                <w:rFonts w:eastAsia="Calibri"/>
              </w:rPr>
              <w:t xml:space="preserve">- опись документов; </w:t>
            </w:r>
            <w:bookmarkStart w:id="20" w:name="OLE_LINK137"/>
            <w:bookmarkStart w:id="21" w:name="OLE_LINK136"/>
            <w:bookmarkStart w:id="22" w:name="OLE_LINK135"/>
            <w:bookmarkEnd w:id="19"/>
            <w:r>
              <w:rPr>
                <w:rFonts w:eastAsia="Calibri"/>
              </w:rPr>
              <w:t xml:space="preserve">необходимые документы, в том числе: </w:t>
            </w:r>
            <w:bookmarkEnd w:id="16"/>
            <w:bookmarkEnd w:id="17"/>
            <w:bookmarkEnd w:id="20"/>
            <w:bookmarkEnd w:id="21"/>
            <w:bookmarkEnd w:id="22"/>
          </w:p>
          <w:p w14:paraId="2B9280C2" w14:textId="77777777" w:rsidR="002C6675" w:rsidRDefault="002C6675">
            <w:pPr>
              <w:widowControl w:val="0"/>
              <w:ind w:firstLine="33"/>
              <w:jc w:val="both"/>
              <w:rPr>
                <w:rFonts w:eastAsia="Calibri"/>
              </w:rPr>
            </w:pPr>
            <w:r>
              <w:rPr>
                <w:rFonts w:eastAsia="Calibri"/>
              </w:rPr>
              <w:t xml:space="preserve">- </w:t>
            </w:r>
            <w:bookmarkStart w:id="23"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rPr>
              <w:t>.</w:t>
            </w:r>
          </w:p>
          <w:p w14:paraId="2E625204" w14:textId="77777777" w:rsidR="002C6675" w:rsidRDefault="002C6675">
            <w:pPr>
              <w:widowControl w:val="0"/>
              <w:ind w:firstLine="33"/>
              <w:jc w:val="both"/>
              <w:rPr>
                <w:rFonts w:eastAsia="Calibri"/>
              </w:rPr>
            </w:pPr>
            <w:r>
              <w:rPr>
                <w:rFonts w:eastAsia="Calibri"/>
              </w:rPr>
              <w:t xml:space="preserve">- </w:t>
            </w:r>
            <w:bookmarkStart w:id="24"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4"/>
          </w:p>
          <w:p w14:paraId="0CF13E7F" w14:textId="77777777" w:rsidR="002C6675" w:rsidRDefault="002C6675">
            <w:pPr>
              <w:widowControl w:val="0"/>
              <w:ind w:firstLine="33"/>
              <w:jc w:val="both"/>
              <w:rPr>
                <w:rFonts w:eastAsia="Calibri"/>
              </w:rPr>
            </w:pPr>
            <w:r>
              <w:rPr>
                <w:rFonts w:eastAsia="Calibri"/>
              </w:rPr>
              <w:t xml:space="preserve">- </w:t>
            </w:r>
            <w:bookmarkStart w:id="25" w:name="OLE_LINK141"/>
            <w:bookmarkStart w:id="26"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1DF735DA" w14:textId="77777777" w:rsidR="002C6675" w:rsidRDefault="002C6675">
            <w:pPr>
              <w:widowControl w:val="0"/>
              <w:ind w:firstLine="33"/>
              <w:jc w:val="both"/>
              <w:rPr>
                <w:rFonts w:eastAsia="Calibri"/>
              </w:rPr>
            </w:pPr>
            <w:r>
              <w:rPr>
                <w:rFonts w:eastAsia="Calibri"/>
              </w:rPr>
              <w:t xml:space="preserve">- </w:t>
            </w:r>
            <w:bookmarkStart w:id="27" w:name="OLE_LINK143"/>
            <w:bookmarkStart w:id="28"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2FD9AA03" w14:textId="77777777" w:rsidR="002C6675" w:rsidRDefault="002C6675">
            <w:pPr>
              <w:widowControl w:val="0"/>
              <w:ind w:firstLine="33"/>
              <w:jc w:val="both"/>
              <w:rPr>
                <w:rFonts w:eastAsia="Calibri"/>
              </w:rPr>
            </w:pPr>
            <w:r>
              <w:rPr>
                <w:rFonts w:eastAsia="Calibri"/>
              </w:rPr>
              <w:t xml:space="preserve">- </w:t>
            </w:r>
            <w:bookmarkStart w:id="29"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4C5C094F" w14:textId="77777777" w:rsidR="002C6675" w:rsidRDefault="002C6675">
            <w:pPr>
              <w:widowControl w:val="0"/>
              <w:ind w:firstLine="33"/>
              <w:jc w:val="both"/>
              <w:rPr>
                <w:rFonts w:eastAsia="Calibri"/>
              </w:rPr>
            </w:pPr>
            <w:r>
              <w:rPr>
                <w:rFonts w:eastAsia="Calibri"/>
              </w:rPr>
              <w:t xml:space="preserve">- </w:t>
            </w:r>
            <w:bookmarkStart w:id="30" w:name="OLE_LINK147"/>
            <w:bookmarkStart w:id="31" w:name="OLE_LINK146"/>
            <w:bookmarkStart w:id="32" w:name="OLE_LINK145"/>
            <w:r>
              <w:rPr>
                <w:rFonts w:eastAsia="Calibri"/>
              </w:rPr>
              <w:t xml:space="preserve">документы, подтверждающих финансовое положение Заявителя (оценивается </w:t>
            </w:r>
            <w:r>
              <w:rPr>
                <w:rFonts w:eastAsia="Calibri"/>
              </w:rPr>
              <w:lastRenderedPageBreak/>
              <w:t>не хуже, чем «среднее»);</w:t>
            </w:r>
            <w:bookmarkEnd w:id="30"/>
            <w:bookmarkEnd w:id="31"/>
            <w:bookmarkEnd w:id="32"/>
          </w:p>
          <w:p w14:paraId="01DDFBD6" w14:textId="77777777" w:rsidR="002C6675" w:rsidRDefault="002C6675">
            <w:pPr>
              <w:widowControl w:val="0"/>
              <w:ind w:firstLine="33"/>
              <w:jc w:val="both"/>
              <w:rPr>
                <w:rFonts w:eastAsia="Calibri"/>
              </w:rPr>
            </w:pPr>
            <w:r>
              <w:rPr>
                <w:rFonts w:eastAsia="Calibri"/>
              </w:rPr>
              <w:t xml:space="preserve">- </w:t>
            </w:r>
            <w:bookmarkStart w:id="33" w:name="OLE_LINK149"/>
            <w:bookmarkStart w:id="34"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3C12F5F1" w14:textId="77777777" w:rsidR="002C6675" w:rsidRDefault="002C6675">
            <w:pPr>
              <w:widowControl w:val="0"/>
              <w:ind w:firstLine="33"/>
              <w:jc w:val="both"/>
              <w:rPr>
                <w:rFonts w:eastAsia="Calibri"/>
              </w:rPr>
            </w:pPr>
            <w:bookmarkStart w:id="35" w:name="OLE_LINK150"/>
            <w:r>
              <w:rPr>
                <w:rFonts w:eastAsia="Calibri"/>
              </w:rPr>
              <w:t>- Надлежащим образом заверенные копии следующих документов:</w:t>
            </w:r>
            <w:bookmarkEnd w:id="35"/>
          </w:p>
          <w:p w14:paraId="3E71F70B" w14:textId="77777777" w:rsidR="002C6675" w:rsidRDefault="002C6675">
            <w:pPr>
              <w:widowControl w:val="0"/>
              <w:ind w:firstLine="33"/>
              <w:jc w:val="both"/>
              <w:rPr>
                <w:rFonts w:eastAsia="Calibri"/>
              </w:rPr>
            </w:pPr>
            <w:bookmarkStart w:id="36" w:name="OLE_LINK152"/>
            <w:bookmarkStart w:id="37"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51F3F55" w14:textId="77777777" w:rsidR="002C6675" w:rsidRDefault="002C6675">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0ACD6DA8" w14:textId="77777777" w:rsidR="002C6675" w:rsidRDefault="002C6675">
            <w:pPr>
              <w:widowControl w:val="0"/>
              <w:ind w:firstLine="33"/>
              <w:jc w:val="both"/>
              <w:rPr>
                <w:rFonts w:eastAsia="Calibri"/>
              </w:rPr>
            </w:pPr>
          </w:p>
          <w:p w14:paraId="05F48E57" w14:textId="77777777" w:rsidR="002C6675" w:rsidRDefault="002C6675">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12055DF3" w14:textId="77777777" w:rsidR="002C6675" w:rsidRDefault="002C6675">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72F1EB8C" w14:textId="77777777" w:rsidR="002C6675" w:rsidRDefault="002C6675">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5E64382" w14:textId="77777777" w:rsidR="002C6675" w:rsidRDefault="002C6675">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2DB8B090" w14:textId="77777777" w:rsidR="002C6675" w:rsidRDefault="002C6675">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15A5217" w14:textId="77777777" w:rsidR="002C6675" w:rsidRDefault="002C6675">
            <w:pPr>
              <w:autoSpaceDE w:val="0"/>
              <w:autoSpaceDN w:val="0"/>
              <w:adjustRightInd w:val="0"/>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rPr>
              <w:t>.</w:t>
            </w:r>
            <w:bookmarkEnd w:id="9"/>
            <w:bookmarkEnd w:id="10"/>
            <w:bookmarkEnd w:id="11"/>
            <w:bookmarkEnd w:id="36"/>
            <w:bookmarkEnd w:id="37"/>
          </w:p>
          <w:p w14:paraId="210C04AA" w14:textId="77777777" w:rsidR="002C6675" w:rsidRDefault="002C6675">
            <w:pPr>
              <w:autoSpaceDE w:val="0"/>
              <w:autoSpaceDN w:val="0"/>
              <w:adjustRightInd w:val="0"/>
              <w:jc w:val="both"/>
              <w:rPr>
                <w:rFonts w:eastAsiaTheme="minorEastAsia"/>
              </w:rPr>
            </w:pPr>
          </w:p>
        </w:tc>
      </w:tr>
      <w:tr w:rsidR="002C6675" w14:paraId="30C6A15C"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71A619B7" w14:textId="77777777" w:rsidR="002C6675" w:rsidRDefault="002C6675">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0C356B22" w14:textId="77777777" w:rsidR="002C6675" w:rsidRDefault="002C6675">
            <w:pPr>
              <w:tabs>
                <w:tab w:val="left" w:pos="272"/>
              </w:tabs>
              <w:jc w:val="both"/>
              <w:rPr>
                <w:rFonts w:eastAsiaTheme="minorEastAsia"/>
              </w:rPr>
            </w:pPr>
            <w:r>
              <w:t>1. В отношении Нового кредитора - юридического лица:</w:t>
            </w:r>
          </w:p>
          <w:p w14:paraId="785BAF52" w14:textId="77777777" w:rsidR="002C6675" w:rsidRDefault="002C6675">
            <w:pPr>
              <w:tabs>
                <w:tab w:val="left" w:pos="272"/>
              </w:tabs>
              <w:jc w:val="both"/>
            </w:pPr>
            <w: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7061D0ED" w14:textId="77777777" w:rsidR="002C6675" w:rsidRDefault="002C6675">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739902EA" w14:textId="77777777" w:rsidR="002C6675" w:rsidRDefault="002C6675">
            <w:pPr>
              <w:tabs>
                <w:tab w:val="left" w:pos="272"/>
              </w:tabs>
              <w:jc w:val="both"/>
            </w:pPr>
            <w:r>
              <w:t>1.3. Отсутствие информации о незавершенной реорганизации и процедуре ликвидации Нового кредитора.</w:t>
            </w:r>
          </w:p>
          <w:p w14:paraId="5011BDB9" w14:textId="77777777" w:rsidR="002C6675" w:rsidRDefault="002C6675">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53A83FA4" w14:textId="77777777" w:rsidR="002C6675" w:rsidRDefault="002C6675">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789E63D2" w14:textId="77777777" w:rsidR="002C6675" w:rsidRDefault="002C6675">
            <w:pPr>
              <w:tabs>
                <w:tab w:val="left" w:pos="272"/>
              </w:tabs>
              <w:jc w:val="both"/>
            </w:pPr>
            <w:r>
              <w:t>2. В отношении Нового кредитора - физического лица:</w:t>
            </w:r>
          </w:p>
          <w:p w14:paraId="6F68690C" w14:textId="77777777" w:rsidR="002C6675" w:rsidRDefault="002C6675">
            <w:pPr>
              <w:tabs>
                <w:tab w:val="left" w:pos="272"/>
              </w:tabs>
              <w:jc w:val="both"/>
            </w:pPr>
            <w:r>
              <w:lastRenderedPageBreak/>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392D1A5" w14:textId="77777777" w:rsidR="002C6675" w:rsidRDefault="002C6675">
            <w:pPr>
              <w:tabs>
                <w:tab w:val="left" w:pos="272"/>
              </w:tabs>
              <w:jc w:val="both"/>
            </w:pPr>
            <w:r>
              <w:t>- отсутствия возбужденных исполнительных производств;</w:t>
            </w:r>
          </w:p>
          <w:p w14:paraId="02816A28" w14:textId="77777777" w:rsidR="002C6675" w:rsidRDefault="002C6675">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39D23163" w14:textId="77777777" w:rsidR="002C6675" w:rsidRDefault="002C6675">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4FBD66ED" w14:textId="77777777" w:rsidR="002C6675" w:rsidRDefault="002C6675">
            <w:pPr>
              <w:tabs>
                <w:tab w:val="left" w:pos="272"/>
              </w:tabs>
              <w:jc w:val="both"/>
            </w:pPr>
            <w:r>
              <w:t>- отсутствия по месту регистрации Нового кредитора исков о взыскании, заявлений имущественного характера;</w:t>
            </w:r>
          </w:p>
          <w:p w14:paraId="30227946" w14:textId="77777777" w:rsidR="002C6675" w:rsidRDefault="002C6675">
            <w:pPr>
              <w:tabs>
                <w:tab w:val="left" w:pos="272"/>
              </w:tabs>
              <w:jc w:val="both"/>
            </w:pPr>
            <w:r>
              <w:t>- отсутствия иных правопритязаний третьих лиц к Новому кредитору;</w:t>
            </w:r>
          </w:p>
          <w:p w14:paraId="359350D7" w14:textId="77777777" w:rsidR="002C6675" w:rsidRDefault="002C6675">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F911CD9" w14:textId="77777777" w:rsidR="002C6675" w:rsidRDefault="002C6675">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D0C9B62" w14:textId="77777777" w:rsidR="002C6675" w:rsidRDefault="002C6675">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7B1BD77" w14:textId="77777777" w:rsidR="002C6675" w:rsidRDefault="002C6675">
            <w:pPr>
              <w:tabs>
                <w:tab w:val="left" w:pos="272"/>
              </w:tabs>
              <w:jc w:val="both"/>
            </w:pPr>
            <w:r>
              <w:t>3. Общие требования:</w:t>
            </w:r>
          </w:p>
          <w:p w14:paraId="58BE6747" w14:textId="77777777" w:rsidR="002C6675" w:rsidRDefault="002C6675">
            <w:pPr>
              <w:tabs>
                <w:tab w:val="left" w:pos="272"/>
              </w:tabs>
              <w:jc w:val="both"/>
            </w:pPr>
            <w:r>
              <w:t>3.1. Отсутствие у Нового кредитора ссудной задолженности перед Кредитором.</w:t>
            </w:r>
          </w:p>
          <w:p w14:paraId="1B8D01F6" w14:textId="77777777" w:rsidR="002C6675" w:rsidRDefault="002C6675">
            <w:pPr>
              <w:tabs>
                <w:tab w:val="left" w:pos="272"/>
              </w:tabs>
              <w:jc w:val="both"/>
            </w:pPr>
            <w:r>
              <w:t>3.2. Отсутствие в отношении Нового кредитора/ лица, предоставляющего займ (-ы) Новому кредитору:</w:t>
            </w:r>
          </w:p>
          <w:p w14:paraId="0B90F4D1" w14:textId="77777777" w:rsidR="002C6675" w:rsidRDefault="002C6675">
            <w:pPr>
              <w:tabs>
                <w:tab w:val="left" w:pos="272"/>
              </w:tabs>
              <w:jc w:val="both"/>
            </w:pPr>
            <w:r>
              <w:t>- негативной информации;</w:t>
            </w:r>
          </w:p>
          <w:p w14:paraId="530C9D1D" w14:textId="77777777" w:rsidR="002C6675" w:rsidRDefault="002C6675">
            <w:pPr>
              <w:tabs>
                <w:tab w:val="left" w:pos="272"/>
              </w:tabs>
              <w:jc w:val="both"/>
            </w:pPr>
            <w:r>
              <w:t>- данных об аффилированности Нового кредитора/ лица, предоставляющего Новому кредитору займ(-ы), к Должникам, Кредитору.</w:t>
            </w:r>
          </w:p>
          <w:p w14:paraId="25F43B4D" w14:textId="77777777" w:rsidR="002C6675" w:rsidRDefault="002C6675">
            <w:pPr>
              <w:tabs>
                <w:tab w:val="left" w:pos="272"/>
              </w:tabs>
              <w:jc w:val="both"/>
            </w:pPr>
            <w:r>
              <w:t>Подтверждается службой безопасности Филиала.</w:t>
            </w:r>
          </w:p>
          <w:p w14:paraId="2593C3AE" w14:textId="77777777" w:rsidR="002C6675" w:rsidRDefault="002C6675">
            <w:pPr>
              <w:widowControl w:val="0"/>
              <w:ind w:firstLine="33"/>
              <w:jc w:val="both"/>
              <w:rPr>
                <w:rFonts w:eastAsia="Calibri"/>
              </w:rPr>
            </w:pPr>
            <w:r>
              <w:t>3.3. Отсутствие в числе аффилированных Новому кредитору лиц заемщиков Кредитора.</w:t>
            </w:r>
          </w:p>
        </w:tc>
      </w:tr>
      <w:tr w:rsidR="002C6675" w14:paraId="64A915C0"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4F291446" w14:textId="77777777" w:rsidR="002C6675" w:rsidRDefault="002C6675">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5FB90B3" w14:textId="77777777" w:rsidR="002C6675" w:rsidRDefault="002C6675">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4EEB29F9" w14:textId="77777777" w:rsidR="002C6675" w:rsidRDefault="002C6675">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2EB6148B" w14:textId="77777777" w:rsidR="002C6675" w:rsidRDefault="002C6675">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1A3EDF3B" w14:textId="77777777" w:rsidR="002C6675" w:rsidRDefault="002C6675">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79069FE4" w14:textId="77777777" w:rsidR="002C6675" w:rsidRDefault="002C6675">
            <w:pPr>
              <w:autoSpaceDE w:val="0"/>
              <w:autoSpaceDN w:val="0"/>
              <w:adjustRightInd w:val="0"/>
              <w:jc w:val="both"/>
            </w:pPr>
            <w:r>
              <w:t>-не представлены документы, перечисленные в Извещении;</w:t>
            </w:r>
          </w:p>
          <w:p w14:paraId="0E30D648" w14:textId="77777777" w:rsidR="002C6675" w:rsidRDefault="002C6675">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29943BA" w14:textId="77777777" w:rsidR="002C6675" w:rsidRDefault="002C6675">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4CC7F98E" w14:textId="77777777" w:rsidR="002C6675" w:rsidRDefault="002C6675">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EBDA544" w14:textId="64A6A2B2" w:rsidR="002C6675" w:rsidRDefault="002C6675">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w:t>
            </w:r>
            <w:r w:rsidR="0015339A">
              <w:t>имущества</w:t>
            </w:r>
            <w:r>
              <w:t xml:space="preserve">; </w:t>
            </w:r>
          </w:p>
          <w:p w14:paraId="3C79E2AB" w14:textId="77777777" w:rsidR="002C6675" w:rsidRDefault="002C6675">
            <w:pPr>
              <w:autoSpaceDE w:val="0"/>
              <w:autoSpaceDN w:val="0"/>
              <w:adjustRightInd w:val="0"/>
              <w:jc w:val="both"/>
            </w:pPr>
            <w:r>
              <w:t>-выявления негативной информации в отношении Заявителя/лица, предоставляющего займ (-ы) Заявителю;</w:t>
            </w:r>
          </w:p>
          <w:p w14:paraId="2AF9801B" w14:textId="77777777" w:rsidR="002C6675" w:rsidRDefault="002C6675">
            <w:pPr>
              <w:autoSpaceDE w:val="0"/>
              <w:autoSpaceDN w:val="0"/>
              <w:adjustRightInd w:val="0"/>
              <w:jc w:val="both"/>
            </w:pPr>
            <w:r>
              <w:t>-выявление признаков аффилированности Заявителя/ лица, предоставляющего займ (-ы) Заявителя к Банку, Должникам;</w:t>
            </w:r>
          </w:p>
          <w:p w14:paraId="40B45850" w14:textId="77777777" w:rsidR="002C6675" w:rsidRDefault="002C6675">
            <w:pPr>
              <w:autoSpaceDE w:val="0"/>
              <w:autoSpaceDN w:val="0"/>
              <w:adjustRightInd w:val="0"/>
              <w:jc w:val="both"/>
            </w:pPr>
            <w:r>
              <w:t>-выявление в числе аффилированных Заявителю лиц-заемщиков Кредитора;</w:t>
            </w:r>
          </w:p>
          <w:p w14:paraId="61ACB9FF" w14:textId="77777777" w:rsidR="002C6675" w:rsidRDefault="002C6675">
            <w:pPr>
              <w:autoSpaceDE w:val="0"/>
              <w:autoSpaceDN w:val="0"/>
              <w:adjustRightInd w:val="0"/>
              <w:jc w:val="both"/>
            </w:pPr>
            <w:r>
              <w:t xml:space="preserve">-выявления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w:t>
            </w:r>
            <w:r>
              <w:lastRenderedPageBreak/>
              <w:t>признании банкротом, наличие поданного в арбитражный суд заявления о банкротстве;</w:t>
            </w:r>
          </w:p>
          <w:p w14:paraId="3A6849AC" w14:textId="77777777" w:rsidR="002C6675" w:rsidRDefault="002C6675">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DDF23C0" w14:textId="77777777" w:rsidR="002C6675" w:rsidRDefault="002C6675">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46B558B" w14:textId="77777777" w:rsidR="002C6675" w:rsidRDefault="002C6675">
            <w:pPr>
              <w:autoSpaceDE w:val="0"/>
              <w:autoSpaceDN w:val="0"/>
              <w:adjustRightInd w:val="0"/>
              <w:jc w:val="both"/>
            </w:pPr>
            <w:r>
              <w:t>-выявления информации о незавершенной реорганизации и процедуре ликвидации Заявителя.</w:t>
            </w:r>
          </w:p>
          <w:p w14:paraId="24BD7257" w14:textId="77777777" w:rsidR="002C6675" w:rsidRDefault="002C6675">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100 000 рублей.</w:t>
            </w:r>
          </w:p>
          <w:p w14:paraId="12D839F7" w14:textId="77777777" w:rsidR="002C6675" w:rsidRDefault="002C6675">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C3481B7" w14:textId="77777777" w:rsidR="002C6675" w:rsidRDefault="002C6675">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560F9CF" w14:textId="77777777" w:rsidR="002C6675" w:rsidRDefault="002C6675">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045C5A1D" w14:textId="77777777" w:rsidR="002C6675" w:rsidRDefault="002C6675">
            <w:pPr>
              <w:autoSpaceDE w:val="0"/>
              <w:autoSpaceDN w:val="0"/>
              <w:adjustRightInd w:val="0"/>
              <w:jc w:val="both"/>
            </w:pPr>
            <w:r>
              <w:t>-выявления в отношении Заявителя – физического лица иных правопритязаний третьих лиц к Заявителю;</w:t>
            </w:r>
          </w:p>
          <w:p w14:paraId="65F9AAD4" w14:textId="77777777" w:rsidR="002C6675" w:rsidRDefault="002C6675">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1B6BDF" w14:textId="77777777" w:rsidR="002C6675" w:rsidRDefault="002C6675">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5061038" w14:textId="77777777" w:rsidR="002C6675" w:rsidRDefault="002C6675">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2C6675" w14:paraId="35E2C457"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45B445AF" w14:textId="77777777" w:rsidR="002C6675" w:rsidRDefault="002C6675">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FE229BC" w14:textId="7D83B4F9" w:rsidR="002C6675" w:rsidRDefault="002C6675">
            <w:pPr>
              <w:pStyle w:val="a6"/>
              <w:tabs>
                <w:tab w:val="left" w:pos="426"/>
                <w:tab w:val="left" w:pos="1560"/>
              </w:tabs>
              <w:suppressAutoHyphens/>
              <w:autoSpaceDE w:val="0"/>
              <w:autoSpaceDN w:val="0"/>
              <w:adjustRightInd w:val="0"/>
              <w:spacing w:line="276" w:lineRule="auto"/>
              <w:ind w:left="0"/>
              <w:jc w:val="both"/>
              <w:outlineLvl w:val="1"/>
              <w:rPr>
                <w:sz w:val="20"/>
                <w:szCs w:val="20"/>
              </w:rPr>
            </w:pPr>
            <w:r>
              <w:t xml:space="preserve">Победителем признается участник аукциона, предложивший наиболее высокую цену за </w:t>
            </w:r>
            <w:r w:rsidR="0015339A">
              <w:t xml:space="preserve">имущество </w:t>
            </w:r>
            <w:r>
              <w:t>Банка.</w:t>
            </w:r>
          </w:p>
          <w:p w14:paraId="1267DF00" w14:textId="77F58D25" w:rsidR="002C6675" w:rsidRDefault="002C6675">
            <w:pPr>
              <w:tabs>
                <w:tab w:val="left" w:pos="272"/>
              </w:tabs>
              <w:jc w:val="both"/>
            </w:pPr>
            <w:r>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15339A">
              <w:rPr>
                <w:rFonts w:eastAsia="Calibri"/>
                <w:bCs/>
                <w:lang w:eastAsia="en-US"/>
              </w:rPr>
              <w:t xml:space="preserve">купли-продажи </w:t>
            </w:r>
            <w:r>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2C6675" w14:paraId="1A9AEDBD"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57930011" w14:textId="064E8DC3" w:rsidR="002C6675" w:rsidRDefault="002C6675">
            <w:pPr>
              <w:autoSpaceDE w:val="0"/>
              <w:autoSpaceDN w:val="0"/>
              <w:adjustRightInd w:val="0"/>
              <w:jc w:val="both"/>
              <w:rPr>
                <w:rFonts w:eastAsia="Calibri"/>
              </w:rPr>
            </w:pPr>
            <w:r>
              <w:rPr>
                <w:rFonts w:eastAsia="Calibri"/>
              </w:rPr>
              <w:t xml:space="preserve">Порядок заключения договора реализации </w:t>
            </w:r>
            <w:r w:rsidR="0015339A">
              <w:rPr>
                <w:rFonts w:eastAsia="Calibri"/>
              </w:rPr>
              <w:t>имущества</w:t>
            </w:r>
          </w:p>
        </w:tc>
        <w:tc>
          <w:tcPr>
            <w:tcW w:w="7051" w:type="dxa"/>
            <w:tcBorders>
              <w:top w:val="single" w:sz="4" w:space="0" w:color="auto"/>
              <w:left w:val="single" w:sz="4" w:space="0" w:color="auto"/>
              <w:bottom w:val="single" w:sz="4" w:space="0" w:color="auto"/>
              <w:right w:val="single" w:sz="4" w:space="0" w:color="auto"/>
            </w:tcBorders>
            <w:hideMark/>
          </w:tcPr>
          <w:p w14:paraId="3D766A70" w14:textId="77777777" w:rsidR="002C6675" w:rsidRDefault="002C6675">
            <w:pPr>
              <w:autoSpaceDE w:val="0"/>
              <w:autoSpaceDN w:val="0"/>
              <w:adjustRightInd w:val="0"/>
              <w:jc w:val="both"/>
              <w:rPr>
                <w:rFonts w:eastAsiaTheme="minorEastAsia"/>
              </w:rPr>
            </w:pPr>
            <w:r>
              <w:t xml:space="preserve">Заключение договора реализации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8 (Восьми) рабочих дней со дня подписания протокола об итогах торгов. </w:t>
            </w:r>
          </w:p>
          <w:p w14:paraId="02DE1180" w14:textId="77777777" w:rsidR="002C6675" w:rsidRDefault="002C6675">
            <w:pPr>
              <w:autoSpaceDE w:val="0"/>
              <w:autoSpaceDN w:val="0"/>
              <w:adjustRightInd w:val="0"/>
              <w:jc w:val="both"/>
            </w:pPr>
            <w:r>
              <w:t>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1C520191" w14:textId="77777777" w:rsidR="002C6675" w:rsidRDefault="002C6675">
            <w:pPr>
              <w:autoSpaceDE w:val="0"/>
              <w:autoSpaceDN w:val="0"/>
              <w:adjustRightInd w:val="0"/>
              <w:jc w:val="both"/>
            </w:pPr>
            <w: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1112D5A6" w14:textId="77777777" w:rsidR="002C6675" w:rsidRDefault="002C6675">
            <w:pPr>
              <w:tabs>
                <w:tab w:val="left" w:pos="272"/>
              </w:tabs>
              <w:jc w:val="both"/>
            </w:pPr>
            <w: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w:t>
            </w:r>
            <w:r>
              <w:lastRenderedPageBreak/>
              <w:t>продажи имущества    заключается с Претендентом, предложившим следующую за Победителем Торговой процедуры лучшую цену.</w:t>
            </w:r>
          </w:p>
        </w:tc>
      </w:tr>
      <w:tr w:rsidR="002C6675" w14:paraId="5542D072" w14:textId="77777777" w:rsidTr="002C6675">
        <w:trPr>
          <w:trHeight w:val="684"/>
        </w:trPr>
        <w:tc>
          <w:tcPr>
            <w:tcW w:w="2554" w:type="dxa"/>
            <w:tcBorders>
              <w:top w:val="single" w:sz="4" w:space="0" w:color="auto"/>
              <w:left w:val="single" w:sz="4" w:space="0" w:color="auto"/>
              <w:bottom w:val="single" w:sz="4" w:space="0" w:color="auto"/>
              <w:right w:val="single" w:sz="4" w:space="0" w:color="auto"/>
            </w:tcBorders>
            <w:hideMark/>
          </w:tcPr>
          <w:p w14:paraId="449F3A7C" w14:textId="77777777" w:rsidR="002C6675" w:rsidRDefault="002C6675">
            <w:pPr>
              <w:autoSpaceDE w:val="0"/>
              <w:autoSpaceDN w:val="0"/>
              <w:adjustRightInd w:val="0"/>
              <w:jc w:val="both"/>
              <w:rPr>
                <w:rFonts w:eastAsia="Calibri"/>
              </w:rPr>
            </w:pPr>
            <w:r>
              <w:rPr>
                <w:rFonts w:eastAsia="Calibri"/>
              </w:rPr>
              <w:lastRenderedPageBreak/>
              <w:t>Состав Комиссии Принципала по проведению Торговых процедур</w:t>
            </w:r>
          </w:p>
        </w:tc>
        <w:tc>
          <w:tcPr>
            <w:tcW w:w="7051" w:type="dxa"/>
            <w:tcBorders>
              <w:top w:val="single" w:sz="4" w:space="0" w:color="auto"/>
              <w:left w:val="single" w:sz="4" w:space="0" w:color="auto"/>
              <w:bottom w:val="single" w:sz="4" w:space="0" w:color="auto"/>
              <w:right w:val="single" w:sz="4" w:space="0" w:color="auto"/>
            </w:tcBorders>
            <w:hideMark/>
          </w:tcPr>
          <w:p w14:paraId="2B93842F" w14:textId="77777777" w:rsidR="002C6675" w:rsidRDefault="002C6675">
            <w:pPr>
              <w:tabs>
                <w:tab w:val="left" w:pos="272"/>
              </w:tabs>
              <w:jc w:val="both"/>
              <w:rPr>
                <w:rFonts w:eastAsiaTheme="minorEastAsia"/>
              </w:rPr>
            </w:pPr>
            <w:r>
              <w:rPr>
                <w:rFonts w:eastAsia="Calibri"/>
              </w:rPr>
              <w:t>В состав Комиссии по проведению Торговых процедур в обязательном порядке входят: руководители следующих подразделений Удмуртского РФ АО «Россельхозбанк»: Службы по работе с проблемными активами, Юридического отдела, Службы безопасности, Службы</w:t>
            </w:r>
            <w:r>
              <w:rPr>
                <w:rFonts w:eastAsiaTheme="minorHAnsi"/>
                <w:lang w:eastAsia="en-US"/>
              </w:rPr>
              <w:t xml:space="preserve"> по работе с обеспечением исполнения обязательств.</w:t>
            </w:r>
          </w:p>
        </w:tc>
      </w:tr>
    </w:tbl>
    <w:p w14:paraId="11CB354E" w14:textId="77777777" w:rsidR="00D33B46" w:rsidRDefault="00D33B46" w:rsidP="00C470A9">
      <w:pPr>
        <w:rPr>
          <w:rFonts w:eastAsia="Calibri"/>
          <w:sz w:val="22"/>
          <w:szCs w:val="22"/>
          <w:lang w:eastAsia="en-US"/>
        </w:rPr>
      </w:pPr>
    </w:p>
    <w:p w14:paraId="1EA64BDD" w14:textId="77777777" w:rsidR="00D33B46" w:rsidRDefault="00D33B46" w:rsidP="00C470A9">
      <w:pPr>
        <w:rPr>
          <w:rFonts w:eastAsia="Calibri"/>
          <w:sz w:val="22"/>
          <w:szCs w:val="22"/>
          <w:lang w:eastAsia="en-US"/>
        </w:rPr>
      </w:pPr>
    </w:p>
    <w:p w14:paraId="12717E44" w14:textId="77777777" w:rsidR="00D33B46" w:rsidRDefault="00D33B46" w:rsidP="00C470A9">
      <w:pPr>
        <w:rPr>
          <w:rFonts w:eastAsia="Calibri"/>
          <w:sz w:val="22"/>
          <w:szCs w:val="22"/>
          <w:lang w:eastAsia="en-US"/>
        </w:rPr>
      </w:pPr>
    </w:p>
    <w:p w14:paraId="1FF9B167" w14:textId="77777777" w:rsidR="00D33B46" w:rsidRDefault="00D33B46" w:rsidP="00C470A9">
      <w:pPr>
        <w:rPr>
          <w:rFonts w:eastAsia="Calibri"/>
          <w:sz w:val="22"/>
          <w:szCs w:val="22"/>
          <w:lang w:eastAsia="en-US"/>
        </w:rPr>
      </w:pPr>
    </w:p>
    <w:p w14:paraId="24406973" w14:textId="77777777" w:rsidR="00D33B46" w:rsidRDefault="00D33B46" w:rsidP="00C470A9">
      <w:pPr>
        <w:rPr>
          <w:rFonts w:eastAsia="Calibri"/>
          <w:sz w:val="22"/>
          <w:szCs w:val="22"/>
          <w:lang w:eastAsia="en-US"/>
        </w:rPr>
      </w:pPr>
    </w:p>
    <w:p w14:paraId="456A668A" w14:textId="77777777" w:rsidR="00D33B46" w:rsidRDefault="00D33B46" w:rsidP="00C470A9">
      <w:pPr>
        <w:rPr>
          <w:rFonts w:eastAsia="Calibri"/>
          <w:sz w:val="22"/>
          <w:szCs w:val="22"/>
          <w:lang w:eastAsia="en-US"/>
        </w:rPr>
      </w:pPr>
    </w:p>
    <w:p w14:paraId="6A55F110" w14:textId="77777777" w:rsidR="002C6675" w:rsidRDefault="002C6675" w:rsidP="00C470A9">
      <w:pPr>
        <w:rPr>
          <w:rFonts w:eastAsia="Calibri"/>
          <w:sz w:val="22"/>
          <w:szCs w:val="22"/>
          <w:lang w:eastAsia="en-US"/>
        </w:rPr>
      </w:pPr>
    </w:p>
    <w:p w14:paraId="0B53D2F1" w14:textId="77777777" w:rsidR="002C6675" w:rsidRDefault="002C6675" w:rsidP="00C470A9">
      <w:pPr>
        <w:rPr>
          <w:rFonts w:eastAsia="Calibri"/>
          <w:sz w:val="22"/>
          <w:szCs w:val="22"/>
          <w:lang w:eastAsia="en-US"/>
        </w:rPr>
      </w:pPr>
    </w:p>
    <w:p w14:paraId="32C040A5" w14:textId="77777777" w:rsidR="002C6675" w:rsidRDefault="002C6675" w:rsidP="00C470A9">
      <w:pPr>
        <w:rPr>
          <w:rFonts w:eastAsia="Calibri"/>
          <w:sz w:val="22"/>
          <w:szCs w:val="22"/>
          <w:lang w:eastAsia="en-US"/>
        </w:rPr>
      </w:pPr>
    </w:p>
    <w:p w14:paraId="12C2EDAF" w14:textId="77777777" w:rsidR="002C6675" w:rsidRDefault="002C6675" w:rsidP="00C470A9">
      <w:pPr>
        <w:rPr>
          <w:rFonts w:eastAsia="Calibri"/>
          <w:sz w:val="22"/>
          <w:szCs w:val="22"/>
          <w:lang w:eastAsia="en-US"/>
        </w:rPr>
      </w:pPr>
    </w:p>
    <w:p w14:paraId="34F1B325" w14:textId="77777777" w:rsidR="002C6675" w:rsidRDefault="002C6675" w:rsidP="00C470A9">
      <w:pPr>
        <w:rPr>
          <w:rFonts w:eastAsia="Calibri"/>
          <w:sz w:val="22"/>
          <w:szCs w:val="22"/>
          <w:lang w:eastAsia="en-US"/>
        </w:rPr>
      </w:pPr>
    </w:p>
    <w:p w14:paraId="383E5F88" w14:textId="77777777" w:rsidR="002C6675" w:rsidRDefault="002C6675" w:rsidP="00C470A9">
      <w:pPr>
        <w:rPr>
          <w:rFonts w:eastAsia="Calibri"/>
          <w:sz w:val="22"/>
          <w:szCs w:val="22"/>
          <w:lang w:eastAsia="en-US"/>
        </w:rPr>
      </w:pPr>
    </w:p>
    <w:p w14:paraId="7AD56AC1" w14:textId="77777777" w:rsidR="002C6675" w:rsidRDefault="002C6675" w:rsidP="00C470A9">
      <w:pPr>
        <w:rPr>
          <w:rFonts w:eastAsia="Calibri"/>
          <w:sz w:val="22"/>
          <w:szCs w:val="22"/>
          <w:lang w:eastAsia="en-US"/>
        </w:rPr>
      </w:pPr>
    </w:p>
    <w:p w14:paraId="481CD762" w14:textId="77777777" w:rsidR="002C6675" w:rsidRDefault="002C6675" w:rsidP="00C470A9">
      <w:pPr>
        <w:rPr>
          <w:rFonts w:eastAsia="Calibri"/>
          <w:sz w:val="22"/>
          <w:szCs w:val="22"/>
          <w:lang w:eastAsia="en-US"/>
        </w:rPr>
      </w:pPr>
    </w:p>
    <w:p w14:paraId="5DF0E7EB" w14:textId="77777777" w:rsidR="002C6675" w:rsidRDefault="002C6675" w:rsidP="00C470A9">
      <w:pPr>
        <w:rPr>
          <w:rFonts w:eastAsia="Calibri"/>
          <w:sz w:val="22"/>
          <w:szCs w:val="22"/>
          <w:lang w:eastAsia="en-US"/>
        </w:rPr>
      </w:pPr>
    </w:p>
    <w:p w14:paraId="15C9BDE2" w14:textId="77777777" w:rsidR="002C6675" w:rsidRDefault="002C6675" w:rsidP="00C470A9">
      <w:pPr>
        <w:rPr>
          <w:rFonts w:eastAsia="Calibri"/>
          <w:sz w:val="22"/>
          <w:szCs w:val="22"/>
          <w:lang w:eastAsia="en-US"/>
        </w:rPr>
      </w:pPr>
    </w:p>
    <w:p w14:paraId="76A6ED39" w14:textId="77777777" w:rsidR="002C6675" w:rsidRDefault="002C6675" w:rsidP="00C470A9">
      <w:pPr>
        <w:rPr>
          <w:rFonts w:eastAsia="Calibri"/>
          <w:sz w:val="22"/>
          <w:szCs w:val="22"/>
          <w:lang w:eastAsia="en-US"/>
        </w:rPr>
      </w:pPr>
    </w:p>
    <w:p w14:paraId="5D097915" w14:textId="77777777" w:rsidR="002C6675" w:rsidRDefault="002C6675" w:rsidP="00C470A9">
      <w:pPr>
        <w:rPr>
          <w:rFonts w:eastAsia="Calibri"/>
          <w:sz w:val="22"/>
          <w:szCs w:val="22"/>
          <w:lang w:eastAsia="en-US"/>
        </w:rPr>
      </w:pPr>
    </w:p>
    <w:p w14:paraId="20F7F7FE" w14:textId="77777777" w:rsidR="002C6675" w:rsidRDefault="002C6675" w:rsidP="00C470A9">
      <w:pPr>
        <w:rPr>
          <w:rFonts w:eastAsia="Calibri"/>
          <w:sz w:val="22"/>
          <w:szCs w:val="22"/>
          <w:lang w:eastAsia="en-US"/>
        </w:rPr>
      </w:pPr>
    </w:p>
    <w:p w14:paraId="45E57766" w14:textId="77777777" w:rsidR="002C6675" w:rsidRDefault="002C6675" w:rsidP="00C470A9">
      <w:pPr>
        <w:rPr>
          <w:rFonts w:eastAsia="Calibri"/>
          <w:sz w:val="22"/>
          <w:szCs w:val="22"/>
          <w:lang w:eastAsia="en-US"/>
        </w:rPr>
      </w:pPr>
    </w:p>
    <w:p w14:paraId="36CED0F7" w14:textId="77777777" w:rsidR="002C6675" w:rsidRDefault="002C6675" w:rsidP="00C470A9">
      <w:pPr>
        <w:rPr>
          <w:rFonts w:eastAsia="Calibri"/>
          <w:sz w:val="22"/>
          <w:szCs w:val="22"/>
          <w:lang w:eastAsia="en-US"/>
        </w:rPr>
      </w:pPr>
    </w:p>
    <w:p w14:paraId="48F4233F" w14:textId="77777777" w:rsidR="002C6675" w:rsidRDefault="002C6675" w:rsidP="00C470A9">
      <w:pPr>
        <w:rPr>
          <w:rFonts w:eastAsia="Calibri"/>
          <w:sz w:val="22"/>
          <w:szCs w:val="22"/>
          <w:lang w:eastAsia="en-US"/>
        </w:rPr>
      </w:pPr>
    </w:p>
    <w:p w14:paraId="66DD6A8C" w14:textId="77777777" w:rsidR="002C6675" w:rsidRDefault="002C6675" w:rsidP="00C470A9">
      <w:pPr>
        <w:rPr>
          <w:rFonts w:eastAsia="Calibri"/>
          <w:sz w:val="22"/>
          <w:szCs w:val="22"/>
          <w:lang w:eastAsia="en-US"/>
        </w:rPr>
      </w:pPr>
    </w:p>
    <w:p w14:paraId="4EF80C32" w14:textId="77777777" w:rsidR="002C6675" w:rsidRDefault="002C6675" w:rsidP="00C470A9">
      <w:pPr>
        <w:rPr>
          <w:rFonts w:eastAsia="Calibri"/>
          <w:sz w:val="22"/>
          <w:szCs w:val="22"/>
          <w:lang w:eastAsia="en-US"/>
        </w:rPr>
      </w:pPr>
    </w:p>
    <w:p w14:paraId="0DD34862" w14:textId="77777777" w:rsidR="002C6675" w:rsidRDefault="002C6675" w:rsidP="00C470A9">
      <w:pPr>
        <w:rPr>
          <w:rFonts w:eastAsia="Calibri"/>
          <w:sz w:val="22"/>
          <w:szCs w:val="22"/>
          <w:lang w:eastAsia="en-US"/>
        </w:rPr>
      </w:pPr>
    </w:p>
    <w:p w14:paraId="11CC2671" w14:textId="77777777" w:rsidR="002C6675" w:rsidRDefault="002C6675" w:rsidP="00C470A9">
      <w:pPr>
        <w:rPr>
          <w:rFonts w:eastAsia="Calibri"/>
          <w:sz w:val="22"/>
          <w:szCs w:val="22"/>
          <w:lang w:eastAsia="en-US"/>
        </w:rPr>
      </w:pPr>
    </w:p>
    <w:p w14:paraId="6A310FB5" w14:textId="77777777" w:rsidR="002C6675" w:rsidRDefault="002C6675" w:rsidP="00C470A9">
      <w:pPr>
        <w:rPr>
          <w:rFonts w:eastAsia="Calibri"/>
          <w:sz w:val="22"/>
          <w:szCs w:val="22"/>
          <w:lang w:eastAsia="en-US"/>
        </w:rPr>
      </w:pPr>
    </w:p>
    <w:p w14:paraId="34B1ECCD" w14:textId="77777777" w:rsidR="002C6675" w:rsidRDefault="002C6675" w:rsidP="00C470A9">
      <w:pPr>
        <w:rPr>
          <w:rFonts w:eastAsia="Calibri"/>
          <w:sz w:val="22"/>
          <w:szCs w:val="22"/>
          <w:lang w:eastAsia="en-US"/>
        </w:rPr>
      </w:pPr>
    </w:p>
    <w:p w14:paraId="3EBB396D" w14:textId="77777777" w:rsidR="002C6675" w:rsidRDefault="002C6675" w:rsidP="00C470A9">
      <w:pPr>
        <w:rPr>
          <w:rFonts w:eastAsia="Calibri"/>
          <w:sz w:val="22"/>
          <w:szCs w:val="22"/>
          <w:lang w:eastAsia="en-US"/>
        </w:rPr>
      </w:pPr>
    </w:p>
    <w:p w14:paraId="4BC922B8" w14:textId="77777777" w:rsidR="002C6675" w:rsidRDefault="002C6675" w:rsidP="00C470A9">
      <w:pPr>
        <w:rPr>
          <w:rFonts w:eastAsia="Calibri"/>
          <w:sz w:val="22"/>
          <w:szCs w:val="22"/>
          <w:lang w:eastAsia="en-US"/>
        </w:rPr>
      </w:pPr>
    </w:p>
    <w:p w14:paraId="57BB6409" w14:textId="77777777" w:rsidR="002C6675" w:rsidRDefault="002C6675" w:rsidP="00C470A9">
      <w:pPr>
        <w:rPr>
          <w:rFonts w:eastAsia="Calibri"/>
          <w:sz w:val="22"/>
          <w:szCs w:val="22"/>
          <w:lang w:eastAsia="en-US"/>
        </w:rPr>
      </w:pPr>
    </w:p>
    <w:p w14:paraId="63E8F603" w14:textId="77777777" w:rsidR="002C6675" w:rsidRDefault="002C6675" w:rsidP="00C470A9">
      <w:pPr>
        <w:rPr>
          <w:rFonts w:eastAsia="Calibri"/>
          <w:sz w:val="22"/>
          <w:szCs w:val="22"/>
          <w:lang w:eastAsia="en-US"/>
        </w:rPr>
      </w:pPr>
    </w:p>
    <w:p w14:paraId="63EAE614" w14:textId="77777777" w:rsidR="002C6675" w:rsidRDefault="002C6675" w:rsidP="00C470A9">
      <w:pPr>
        <w:rPr>
          <w:rFonts w:eastAsia="Calibri"/>
          <w:sz w:val="22"/>
          <w:szCs w:val="22"/>
          <w:lang w:eastAsia="en-US"/>
        </w:rPr>
      </w:pPr>
    </w:p>
    <w:p w14:paraId="4350C7F7" w14:textId="77777777" w:rsidR="002C6675" w:rsidRDefault="002C6675" w:rsidP="00C470A9">
      <w:pPr>
        <w:rPr>
          <w:rFonts w:eastAsia="Calibri"/>
          <w:sz w:val="22"/>
          <w:szCs w:val="22"/>
          <w:lang w:eastAsia="en-US"/>
        </w:rPr>
      </w:pPr>
    </w:p>
    <w:p w14:paraId="56DB97F0" w14:textId="77777777" w:rsidR="002C6675" w:rsidRDefault="002C6675" w:rsidP="00C470A9">
      <w:pPr>
        <w:rPr>
          <w:rFonts w:eastAsia="Calibri"/>
          <w:sz w:val="22"/>
          <w:szCs w:val="22"/>
          <w:lang w:eastAsia="en-US"/>
        </w:rPr>
      </w:pPr>
    </w:p>
    <w:p w14:paraId="363B48A1" w14:textId="77777777" w:rsidR="002C6675" w:rsidRDefault="002C6675" w:rsidP="00C470A9">
      <w:pPr>
        <w:rPr>
          <w:rFonts w:eastAsia="Calibri"/>
          <w:sz w:val="22"/>
          <w:szCs w:val="22"/>
          <w:lang w:eastAsia="en-US"/>
        </w:rPr>
      </w:pPr>
    </w:p>
    <w:p w14:paraId="01C5AB51" w14:textId="77777777" w:rsidR="002C6675" w:rsidRDefault="002C6675" w:rsidP="00C470A9">
      <w:pPr>
        <w:rPr>
          <w:rFonts w:eastAsia="Calibri"/>
          <w:sz w:val="22"/>
          <w:szCs w:val="22"/>
          <w:lang w:eastAsia="en-US"/>
        </w:rPr>
      </w:pPr>
    </w:p>
    <w:p w14:paraId="0C45E6C4" w14:textId="77777777" w:rsidR="002C6675" w:rsidRDefault="002C6675" w:rsidP="00C470A9">
      <w:pPr>
        <w:rPr>
          <w:rFonts w:eastAsia="Calibri"/>
          <w:sz w:val="22"/>
          <w:szCs w:val="22"/>
          <w:lang w:eastAsia="en-US"/>
        </w:rPr>
      </w:pPr>
    </w:p>
    <w:p w14:paraId="123AC8D2" w14:textId="77777777" w:rsidR="002C6675" w:rsidRDefault="002C6675" w:rsidP="00C470A9">
      <w:pPr>
        <w:rPr>
          <w:rFonts w:eastAsia="Calibri"/>
          <w:sz w:val="22"/>
          <w:szCs w:val="22"/>
          <w:lang w:eastAsia="en-US"/>
        </w:rPr>
      </w:pPr>
    </w:p>
    <w:p w14:paraId="7A4F2ADE" w14:textId="77777777" w:rsidR="002C6675" w:rsidRDefault="002C6675" w:rsidP="00C470A9">
      <w:pPr>
        <w:rPr>
          <w:rFonts w:eastAsia="Calibri"/>
          <w:sz w:val="22"/>
          <w:szCs w:val="22"/>
          <w:lang w:eastAsia="en-US"/>
        </w:rPr>
      </w:pPr>
    </w:p>
    <w:p w14:paraId="26FF44CF" w14:textId="77777777" w:rsidR="002C6675" w:rsidRDefault="002C6675" w:rsidP="00C470A9">
      <w:pPr>
        <w:rPr>
          <w:rFonts w:eastAsia="Calibri"/>
          <w:sz w:val="22"/>
          <w:szCs w:val="22"/>
          <w:lang w:eastAsia="en-US"/>
        </w:rPr>
      </w:pPr>
    </w:p>
    <w:p w14:paraId="4ABBEF32" w14:textId="77777777" w:rsidR="002C6675" w:rsidRDefault="002C6675" w:rsidP="00C470A9">
      <w:pPr>
        <w:rPr>
          <w:rFonts w:eastAsia="Calibri"/>
          <w:sz w:val="22"/>
          <w:szCs w:val="22"/>
          <w:lang w:eastAsia="en-US"/>
        </w:rPr>
      </w:pPr>
    </w:p>
    <w:p w14:paraId="1739CF08" w14:textId="77777777" w:rsidR="00D33B46" w:rsidRDefault="00D33B46" w:rsidP="00C470A9">
      <w:pPr>
        <w:rPr>
          <w:rFonts w:eastAsia="Calibri"/>
          <w:sz w:val="22"/>
          <w:szCs w:val="22"/>
          <w:lang w:eastAsia="en-US"/>
        </w:rPr>
      </w:pPr>
    </w:p>
    <w:p w14:paraId="59C4DECF" w14:textId="77777777" w:rsidR="00D33B46" w:rsidRDefault="00D33B46" w:rsidP="00C470A9">
      <w:pPr>
        <w:rPr>
          <w:rFonts w:eastAsia="Calibri"/>
          <w:sz w:val="22"/>
          <w:szCs w:val="22"/>
          <w:lang w:eastAsia="en-US"/>
        </w:rPr>
      </w:pPr>
    </w:p>
    <w:p w14:paraId="73039D21" w14:textId="77777777" w:rsidR="00D33B46" w:rsidRDefault="00D33B46" w:rsidP="00C470A9">
      <w:pPr>
        <w:rPr>
          <w:rFonts w:eastAsia="Calibri"/>
          <w:sz w:val="22"/>
          <w:szCs w:val="22"/>
          <w:lang w:eastAsia="en-US"/>
        </w:rPr>
      </w:pPr>
    </w:p>
    <w:p w14:paraId="3483ECB9" w14:textId="77777777" w:rsidR="00D33B46" w:rsidRDefault="00D33B46" w:rsidP="00C470A9">
      <w:pPr>
        <w:rPr>
          <w:rFonts w:eastAsia="Calibri"/>
          <w:sz w:val="22"/>
          <w:szCs w:val="22"/>
          <w:lang w:eastAsia="en-US"/>
        </w:rPr>
      </w:pPr>
    </w:p>
    <w:p w14:paraId="3306D5B0" w14:textId="77777777" w:rsidR="00D33B46" w:rsidRDefault="00D33B46" w:rsidP="00C470A9">
      <w:pPr>
        <w:rPr>
          <w:rFonts w:eastAsia="Calibri"/>
          <w:sz w:val="22"/>
          <w:szCs w:val="22"/>
          <w:lang w:eastAsia="en-US"/>
        </w:rPr>
      </w:pPr>
    </w:p>
    <w:p w14:paraId="50A9DF89" w14:textId="77777777" w:rsidR="00D33B46" w:rsidRDefault="00D33B46" w:rsidP="00C470A9">
      <w:pPr>
        <w:rPr>
          <w:rFonts w:eastAsia="Calibri"/>
          <w:sz w:val="22"/>
          <w:szCs w:val="22"/>
          <w:lang w:eastAsia="en-US"/>
        </w:rPr>
      </w:pPr>
    </w:p>
    <w:p w14:paraId="0A518A7C" w14:textId="77777777" w:rsidR="00D33B46" w:rsidRDefault="00D33B46" w:rsidP="00C470A9">
      <w:pPr>
        <w:rPr>
          <w:rFonts w:eastAsia="Calibri"/>
          <w:sz w:val="22"/>
          <w:szCs w:val="22"/>
          <w:lang w:eastAsia="en-US"/>
        </w:rPr>
      </w:pPr>
    </w:p>
    <w:p w14:paraId="7206A278" w14:textId="77777777" w:rsidR="00D33B46" w:rsidRDefault="00D33B46" w:rsidP="00C470A9">
      <w:pPr>
        <w:rPr>
          <w:rFonts w:eastAsia="Calibri"/>
          <w:sz w:val="22"/>
          <w:szCs w:val="22"/>
          <w:lang w:eastAsia="en-US"/>
        </w:rPr>
      </w:pPr>
    </w:p>
    <w:p w14:paraId="3C4066B5" w14:textId="77777777" w:rsidR="009A48C4" w:rsidRDefault="009A48C4" w:rsidP="00184FF1">
      <w:pPr>
        <w:rPr>
          <w:rFonts w:eastAsia="Calibri"/>
          <w:sz w:val="22"/>
          <w:szCs w:val="22"/>
          <w:lang w:eastAsia="en-US"/>
        </w:rPr>
      </w:pPr>
    </w:p>
    <w:p w14:paraId="06D01B97" w14:textId="6A1E1335" w:rsidR="00B61CE1" w:rsidRPr="00E90195" w:rsidRDefault="00B61CE1" w:rsidP="00B61CE1">
      <w:pPr>
        <w:jc w:val="right"/>
        <w:rPr>
          <w:rFonts w:eastAsia="Calibri"/>
          <w:sz w:val="22"/>
          <w:szCs w:val="22"/>
          <w:lang w:eastAsia="en-US"/>
        </w:rPr>
      </w:pPr>
      <w:bookmarkStart w:id="38" w:name="_Hlk163051155"/>
      <w:r w:rsidRPr="00E90195">
        <w:rPr>
          <w:rFonts w:eastAsia="Calibri"/>
          <w:sz w:val="22"/>
          <w:szCs w:val="22"/>
          <w:lang w:eastAsia="en-US"/>
        </w:rPr>
        <w:lastRenderedPageBreak/>
        <w:t xml:space="preserve">Приложение </w:t>
      </w:r>
      <w:r w:rsidR="00184FF1">
        <w:rPr>
          <w:rFonts w:eastAsia="Calibri"/>
          <w:sz w:val="22"/>
          <w:szCs w:val="22"/>
          <w:lang w:eastAsia="en-US"/>
        </w:rPr>
        <w:t>1</w:t>
      </w:r>
      <w:r w:rsidRPr="00E90195">
        <w:rPr>
          <w:rFonts w:eastAsia="Calibri"/>
          <w:sz w:val="22"/>
          <w:szCs w:val="22"/>
          <w:lang w:eastAsia="en-US"/>
        </w:rPr>
        <w:t xml:space="preserve"> к Торговой документации</w:t>
      </w:r>
    </w:p>
    <w:bookmarkEnd w:id="38"/>
    <w:p w14:paraId="78BF16F7" w14:textId="77777777" w:rsidR="00B61CE1"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1877F69E" w14:textId="77777777" w:rsidR="002C6675" w:rsidRPr="00EB5D73" w:rsidRDefault="002C6675" w:rsidP="00EB5D73">
      <w:pPr>
        <w:jc w:val="both"/>
        <w:rPr>
          <w:rFonts w:eastAsia="Calibri"/>
          <w:sz w:val="24"/>
          <w:szCs w:val="24"/>
          <w:lang w:eastAsia="en-US"/>
        </w:rPr>
      </w:pPr>
    </w:p>
    <w:p w14:paraId="604B236E" w14:textId="77777777" w:rsidR="002C6675" w:rsidRDefault="002C6675" w:rsidP="002C6675">
      <w:pPr>
        <w:tabs>
          <w:tab w:val="left" w:pos="851"/>
          <w:tab w:val="left" w:pos="993"/>
        </w:tabs>
        <w:jc w:val="both"/>
        <w:rPr>
          <w:sz w:val="24"/>
          <w:szCs w:val="24"/>
        </w:rPr>
      </w:pPr>
      <w:r>
        <w:rPr>
          <w:rFonts w:eastAsia="Calibri"/>
          <w:b/>
          <w:sz w:val="24"/>
          <w:szCs w:val="24"/>
          <w:lang w:eastAsia="en-US"/>
        </w:rPr>
        <w:t xml:space="preserve">Лот </w:t>
      </w:r>
      <w:r>
        <w:rPr>
          <w:rFonts w:eastAsia="Calibri"/>
          <w:b/>
          <w:sz w:val="24"/>
          <w:szCs w:val="24"/>
          <w:lang w:val="en-US" w:eastAsia="en-US"/>
        </w:rPr>
        <w:t>I</w:t>
      </w:r>
      <w:r>
        <w:rPr>
          <w:rFonts w:eastAsia="Calibri"/>
          <w:b/>
          <w:sz w:val="24"/>
          <w:szCs w:val="24"/>
          <w:lang w:eastAsia="en-US"/>
        </w:rPr>
        <w:t xml:space="preserve">. </w:t>
      </w:r>
      <w:r>
        <w:rPr>
          <w:b/>
          <w:sz w:val="24"/>
          <w:szCs w:val="24"/>
        </w:rPr>
        <w:t>Документы/основания право собственности</w:t>
      </w:r>
    </w:p>
    <w:p w14:paraId="3D9B1950" w14:textId="77777777" w:rsidR="002C6675" w:rsidRDefault="002C6675" w:rsidP="002C6675">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2C6675" w14:paraId="7BF3F577" w14:textId="77777777" w:rsidTr="002C6675">
        <w:tc>
          <w:tcPr>
            <w:tcW w:w="456" w:type="dxa"/>
            <w:hideMark/>
          </w:tcPr>
          <w:p w14:paraId="0226F08D" w14:textId="77777777" w:rsidR="002C6675" w:rsidRDefault="002C6675">
            <w:pPr>
              <w:widowControl w:val="0"/>
              <w:tabs>
                <w:tab w:val="left" w:pos="8460"/>
              </w:tabs>
              <w:rPr>
                <w:sz w:val="24"/>
                <w:szCs w:val="24"/>
              </w:rPr>
            </w:pPr>
            <w:r>
              <w:rPr>
                <w:sz w:val="24"/>
                <w:szCs w:val="24"/>
              </w:rPr>
              <w:t>1</w:t>
            </w:r>
          </w:p>
        </w:tc>
        <w:tc>
          <w:tcPr>
            <w:tcW w:w="9172" w:type="dxa"/>
            <w:hideMark/>
          </w:tcPr>
          <w:p w14:paraId="2AE70693" w14:textId="77777777" w:rsidR="002C6675" w:rsidRDefault="002C6675">
            <w:pPr>
              <w:widowControl w:val="0"/>
              <w:tabs>
                <w:tab w:val="left" w:pos="8460"/>
              </w:tabs>
              <w:jc w:val="both"/>
              <w:rPr>
                <w:sz w:val="24"/>
                <w:szCs w:val="24"/>
              </w:rPr>
            </w:pPr>
            <w:r>
              <w:rPr>
                <w:sz w:val="24"/>
                <w:szCs w:val="24"/>
              </w:rPr>
              <w:t>Выписка из ЕГРН от 27.02.2024 г. (земельный участок);</w:t>
            </w:r>
          </w:p>
        </w:tc>
      </w:tr>
      <w:tr w:rsidR="002C6675" w14:paraId="35DC0E5D" w14:textId="77777777" w:rsidTr="002C6675">
        <w:tc>
          <w:tcPr>
            <w:tcW w:w="456" w:type="dxa"/>
            <w:hideMark/>
          </w:tcPr>
          <w:p w14:paraId="591CD2AF" w14:textId="77777777" w:rsidR="002C6675" w:rsidRDefault="002C6675">
            <w:pPr>
              <w:widowControl w:val="0"/>
              <w:tabs>
                <w:tab w:val="left" w:pos="8460"/>
              </w:tabs>
              <w:rPr>
                <w:sz w:val="24"/>
                <w:szCs w:val="24"/>
              </w:rPr>
            </w:pPr>
            <w:r>
              <w:rPr>
                <w:sz w:val="24"/>
                <w:szCs w:val="24"/>
              </w:rPr>
              <w:t>2</w:t>
            </w:r>
          </w:p>
        </w:tc>
        <w:tc>
          <w:tcPr>
            <w:tcW w:w="9172" w:type="dxa"/>
            <w:hideMark/>
          </w:tcPr>
          <w:p w14:paraId="41CB788A" w14:textId="77777777" w:rsidR="002C6675" w:rsidRDefault="002C6675">
            <w:pPr>
              <w:widowControl w:val="0"/>
              <w:tabs>
                <w:tab w:val="left" w:pos="8460"/>
              </w:tabs>
              <w:jc w:val="both"/>
              <w:rPr>
                <w:sz w:val="24"/>
                <w:szCs w:val="24"/>
              </w:rPr>
            </w:pPr>
            <w:r>
              <w:rPr>
                <w:sz w:val="24"/>
                <w:szCs w:val="24"/>
              </w:rPr>
              <w:t>Выписка из ЕГРН от 27.02.2024 г. (жилой дом).</w:t>
            </w:r>
          </w:p>
        </w:tc>
      </w:tr>
      <w:tr w:rsidR="002C6675" w14:paraId="5BA1C3D0" w14:textId="77777777" w:rsidTr="002C6675">
        <w:tc>
          <w:tcPr>
            <w:tcW w:w="456" w:type="dxa"/>
          </w:tcPr>
          <w:p w14:paraId="561FE385" w14:textId="77777777" w:rsidR="002C6675" w:rsidRDefault="002C6675">
            <w:pPr>
              <w:widowControl w:val="0"/>
              <w:tabs>
                <w:tab w:val="left" w:pos="8460"/>
              </w:tabs>
              <w:suppressAutoHyphens/>
              <w:rPr>
                <w:sz w:val="24"/>
                <w:szCs w:val="24"/>
              </w:rPr>
            </w:pPr>
          </w:p>
        </w:tc>
        <w:tc>
          <w:tcPr>
            <w:tcW w:w="9172" w:type="dxa"/>
          </w:tcPr>
          <w:p w14:paraId="20684813" w14:textId="77777777" w:rsidR="002C6675" w:rsidRDefault="002C6675">
            <w:pPr>
              <w:widowControl w:val="0"/>
              <w:tabs>
                <w:tab w:val="left" w:pos="8460"/>
              </w:tabs>
              <w:suppressAutoHyphens/>
              <w:jc w:val="both"/>
              <w:rPr>
                <w:sz w:val="24"/>
                <w:szCs w:val="24"/>
              </w:rPr>
            </w:pPr>
          </w:p>
        </w:tc>
      </w:tr>
    </w:tbl>
    <w:p w14:paraId="74EA6670" w14:textId="77777777" w:rsidR="00C470A9" w:rsidRDefault="00C470A9" w:rsidP="00C470A9">
      <w:pPr>
        <w:jc w:val="right"/>
        <w:rPr>
          <w:rFonts w:eastAsia="Calibri"/>
          <w:sz w:val="24"/>
          <w:szCs w:val="24"/>
          <w:lang w:eastAsia="en-US"/>
        </w:rPr>
      </w:pPr>
    </w:p>
    <w:p w14:paraId="71BC53E8" w14:textId="77777777" w:rsidR="002C6675" w:rsidRDefault="002C6675" w:rsidP="00C470A9">
      <w:pPr>
        <w:jc w:val="right"/>
        <w:rPr>
          <w:rFonts w:eastAsia="Calibri"/>
          <w:sz w:val="24"/>
          <w:szCs w:val="24"/>
          <w:lang w:eastAsia="en-US"/>
        </w:rPr>
      </w:pPr>
    </w:p>
    <w:p w14:paraId="549372EE" w14:textId="77777777" w:rsidR="002C6675" w:rsidRDefault="002C6675" w:rsidP="00C470A9">
      <w:pPr>
        <w:jc w:val="right"/>
        <w:rPr>
          <w:rFonts w:eastAsia="Calibri"/>
          <w:sz w:val="24"/>
          <w:szCs w:val="24"/>
          <w:lang w:eastAsia="en-US"/>
        </w:rPr>
      </w:pPr>
    </w:p>
    <w:p w14:paraId="0166E454" w14:textId="77777777" w:rsidR="002C6675" w:rsidRDefault="002C6675" w:rsidP="00C470A9">
      <w:pPr>
        <w:jc w:val="right"/>
        <w:rPr>
          <w:rFonts w:eastAsia="Calibri"/>
          <w:sz w:val="24"/>
          <w:szCs w:val="24"/>
          <w:lang w:eastAsia="en-US"/>
        </w:rPr>
      </w:pPr>
    </w:p>
    <w:p w14:paraId="5FE54FFD" w14:textId="77777777" w:rsidR="002C6675" w:rsidRDefault="002C6675" w:rsidP="00C470A9">
      <w:pPr>
        <w:jc w:val="right"/>
        <w:rPr>
          <w:rFonts w:eastAsia="Calibri"/>
          <w:sz w:val="24"/>
          <w:szCs w:val="24"/>
          <w:lang w:eastAsia="en-US"/>
        </w:rPr>
      </w:pPr>
    </w:p>
    <w:p w14:paraId="0FA7D5DF" w14:textId="77777777" w:rsidR="002C6675" w:rsidRDefault="002C6675" w:rsidP="00C470A9">
      <w:pPr>
        <w:jc w:val="right"/>
        <w:rPr>
          <w:rFonts w:eastAsia="Calibri"/>
          <w:sz w:val="24"/>
          <w:szCs w:val="24"/>
          <w:lang w:eastAsia="en-US"/>
        </w:rPr>
      </w:pPr>
    </w:p>
    <w:p w14:paraId="7019BE90" w14:textId="77777777" w:rsidR="002C6675" w:rsidRDefault="002C6675" w:rsidP="00C470A9">
      <w:pPr>
        <w:jc w:val="right"/>
        <w:rPr>
          <w:rFonts w:eastAsia="Calibri"/>
          <w:sz w:val="24"/>
          <w:szCs w:val="24"/>
          <w:lang w:eastAsia="en-US"/>
        </w:rPr>
      </w:pPr>
    </w:p>
    <w:p w14:paraId="60414A68" w14:textId="77777777" w:rsidR="002C6675" w:rsidRDefault="002C6675" w:rsidP="00C470A9">
      <w:pPr>
        <w:jc w:val="right"/>
        <w:rPr>
          <w:rFonts w:eastAsia="Calibri"/>
          <w:sz w:val="24"/>
          <w:szCs w:val="24"/>
          <w:lang w:eastAsia="en-US"/>
        </w:rPr>
      </w:pPr>
    </w:p>
    <w:p w14:paraId="2A64EC19" w14:textId="77777777" w:rsidR="002C6675" w:rsidRDefault="002C6675" w:rsidP="00C470A9">
      <w:pPr>
        <w:jc w:val="right"/>
        <w:rPr>
          <w:rFonts w:eastAsia="Calibri"/>
          <w:sz w:val="24"/>
          <w:szCs w:val="24"/>
          <w:lang w:eastAsia="en-US"/>
        </w:rPr>
      </w:pPr>
    </w:p>
    <w:p w14:paraId="44AB65A4" w14:textId="77777777" w:rsidR="002C6675" w:rsidRDefault="002C6675" w:rsidP="00C470A9">
      <w:pPr>
        <w:jc w:val="right"/>
        <w:rPr>
          <w:rFonts w:eastAsia="Calibri"/>
          <w:sz w:val="24"/>
          <w:szCs w:val="24"/>
          <w:lang w:eastAsia="en-US"/>
        </w:rPr>
      </w:pPr>
    </w:p>
    <w:p w14:paraId="55CFF77D" w14:textId="77777777" w:rsidR="002C6675" w:rsidRDefault="002C6675" w:rsidP="00C470A9">
      <w:pPr>
        <w:jc w:val="right"/>
        <w:rPr>
          <w:rFonts w:eastAsia="Calibri"/>
          <w:sz w:val="24"/>
          <w:szCs w:val="24"/>
          <w:lang w:eastAsia="en-US"/>
        </w:rPr>
      </w:pPr>
    </w:p>
    <w:p w14:paraId="5B0359E2" w14:textId="77777777" w:rsidR="002C6675" w:rsidRDefault="002C6675" w:rsidP="00C470A9">
      <w:pPr>
        <w:jc w:val="right"/>
        <w:rPr>
          <w:rFonts w:eastAsia="Calibri"/>
          <w:sz w:val="24"/>
          <w:szCs w:val="24"/>
          <w:lang w:eastAsia="en-US"/>
        </w:rPr>
      </w:pPr>
    </w:p>
    <w:p w14:paraId="40D9FD84" w14:textId="77777777" w:rsidR="002C6675" w:rsidRDefault="002C6675" w:rsidP="00C470A9">
      <w:pPr>
        <w:jc w:val="right"/>
        <w:rPr>
          <w:rFonts w:eastAsia="Calibri"/>
          <w:sz w:val="24"/>
          <w:szCs w:val="24"/>
          <w:lang w:eastAsia="en-US"/>
        </w:rPr>
      </w:pPr>
    </w:p>
    <w:p w14:paraId="6991F9CC" w14:textId="77777777" w:rsidR="002C6675" w:rsidRDefault="002C6675" w:rsidP="00C470A9">
      <w:pPr>
        <w:jc w:val="right"/>
        <w:rPr>
          <w:rFonts w:eastAsia="Calibri"/>
          <w:sz w:val="24"/>
          <w:szCs w:val="24"/>
          <w:lang w:eastAsia="en-US"/>
        </w:rPr>
      </w:pPr>
    </w:p>
    <w:p w14:paraId="607AA033" w14:textId="77777777" w:rsidR="002C6675" w:rsidRDefault="002C6675" w:rsidP="00C470A9">
      <w:pPr>
        <w:jc w:val="right"/>
        <w:rPr>
          <w:rFonts w:eastAsia="Calibri"/>
          <w:sz w:val="24"/>
          <w:szCs w:val="24"/>
          <w:lang w:eastAsia="en-US"/>
        </w:rPr>
      </w:pPr>
    </w:p>
    <w:p w14:paraId="26B93607" w14:textId="77777777" w:rsidR="002C6675" w:rsidRDefault="002C6675" w:rsidP="00C470A9">
      <w:pPr>
        <w:jc w:val="right"/>
        <w:rPr>
          <w:rFonts w:eastAsia="Calibri"/>
          <w:sz w:val="24"/>
          <w:szCs w:val="24"/>
          <w:lang w:eastAsia="en-US"/>
        </w:rPr>
      </w:pPr>
    </w:p>
    <w:p w14:paraId="691D68BE" w14:textId="77777777" w:rsidR="002C6675" w:rsidRDefault="002C6675" w:rsidP="00C470A9">
      <w:pPr>
        <w:jc w:val="right"/>
        <w:rPr>
          <w:rFonts w:eastAsia="Calibri"/>
          <w:sz w:val="24"/>
          <w:szCs w:val="24"/>
          <w:lang w:eastAsia="en-US"/>
        </w:rPr>
      </w:pPr>
    </w:p>
    <w:p w14:paraId="757FB0CF" w14:textId="77777777" w:rsidR="002C6675" w:rsidRDefault="002C6675" w:rsidP="00C470A9">
      <w:pPr>
        <w:jc w:val="right"/>
        <w:rPr>
          <w:rFonts w:eastAsia="Calibri"/>
          <w:sz w:val="24"/>
          <w:szCs w:val="24"/>
          <w:lang w:eastAsia="en-US"/>
        </w:rPr>
      </w:pPr>
    </w:p>
    <w:p w14:paraId="5A00770B" w14:textId="77777777" w:rsidR="002C6675" w:rsidRDefault="002C6675" w:rsidP="00C470A9">
      <w:pPr>
        <w:jc w:val="right"/>
        <w:rPr>
          <w:rFonts w:eastAsia="Calibri"/>
          <w:sz w:val="24"/>
          <w:szCs w:val="24"/>
          <w:lang w:eastAsia="en-US"/>
        </w:rPr>
      </w:pPr>
    </w:p>
    <w:p w14:paraId="611ED9F0" w14:textId="77777777" w:rsidR="002C6675" w:rsidRDefault="002C6675" w:rsidP="00C470A9">
      <w:pPr>
        <w:jc w:val="right"/>
        <w:rPr>
          <w:rFonts w:eastAsia="Calibri"/>
          <w:sz w:val="24"/>
          <w:szCs w:val="24"/>
          <w:lang w:eastAsia="en-US"/>
        </w:rPr>
      </w:pPr>
    </w:p>
    <w:p w14:paraId="2D8A1AAF" w14:textId="77777777" w:rsidR="002C6675" w:rsidRDefault="002C6675" w:rsidP="00C470A9">
      <w:pPr>
        <w:jc w:val="right"/>
        <w:rPr>
          <w:rFonts w:eastAsia="Calibri"/>
          <w:sz w:val="24"/>
          <w:szCs w:val="24"/>
          <w:lang w:eastAsia="en-US"/>
        </w:rPr>
      </w:pPr>
    </w:p>
    <w:p w14:paraId="60E0CF44" w14:textId="77777777" w:rsidR="002C6675" w:rsidRDefault="002C6675" w:rsidP="00C470A9">
      <w:pPr>
        <w:jc w:val="right"/>
        <w:rPr>
          <w:rFonts w:eastAsia="Calibri"/>
          <w:sz w:val="24"/>
          <w:szCs w:val="24"/>
          <w:lang w:eastAsia="en-US"/>
        </w:rPr>
      </w:pPr>
    </w:p>
    <w:p w14:paraId="5A6E36DA" w14:textId="77777777" w:rsidR="002C6675" w:rsidRDefault="002C6675" w:rsidP="00C470A9">
      <w:pPr>
        <w:jc w:val="right"/>
        <w:rPr>
          <w:rFonts w:eastAsia="Calibri"/>
          <w:sz w:val="24"/>
          <w:szCs w:val="24"/>
          <w:lang w:eastAsia="en-US"/>
        </w:rPr>
      </w:pPr>
    </w:p>
    <w:p w14:paraId="694AED6F" w14:textId="77777777" w:rsidR="002C6675" w:rsidRDefault="002C6675" w:rsidP="00C470A9">
      <w:pPr>
        <w:jc w:val="right"/>
        <w:rPr>
          <w:rFonts w:eastAsia="Calibri"/>
          <w:sz w:val="24"/>
          <w:szCs w:val="24"/>
          <w:lang w:eastAsia="en-US"/>
        </w:rPr>
      </w:pPr>
    </w:p>
    <w:p w14:paraId="2726251A" w14:textId="77777777" w:rsidR="002C6675" w:rsidRDefault="002C6675" w:rsidP="00C470A9">
      <w:pPr>
        <w:jc w:val="right"/>
        <w:rPr>
          <w:rFonts w:eastAsia="Calibri"/>
          <w:sz w:val="24"/>
          <w:szCs w:val="24"/>
          <w:lang w:eastAsia="en-US"/>
        </w:rPr>
      </w:pPr>
    </w:p>
    <w:p w14:paraId="6A27DC17" w14:textId="77777777" w:rsidR="002C6675" w:rsidRDefault="002C6675" w:rsidP="00C470A9">
      <w:pPr>
        <w:jc w:val="right"/>
        <w:rPr>
          <w:rFonts w:eastAsia="Calibri"/>
          <w:sz w:val="24"/>
          <w:szCs w:val="24"/>
          <w:lang w:eastAsia="en-US"/>
        </w:rPr>
      </w:pPr>
    </w:p>
    <w:p w14:paraId="4A947312" w14:textId="77777777" w:rsidR="002C6675" w:rsidRDefault="002C6675" w:rsidP="00C470A9">
      <w:pPr>
        <w:jc w:val="right"/>
        <w:rPr>
          <w:rFonts w:eastAsia="Calibri"/>
          <w:sz w:val="24"/>
          <w:szCs w:val="24"/>
          <w:lang w:eastAsia="en-US"/>
        </w:rPr>
      </w:pPr>
    </w:p>
    <w:p w14:paraId="33EA374E" w14:textId="77777777" w:rsidR="002C6675" w:rsidRDefault="002C6675" w:rsidP="00C470A9">
      <w:pPr>
        <w:jc w:val="right"/>
        <w:rPr>
          <w:rFonts w:eastAsia="Calibri"/>
          <w:sz w:val="24"/>
          <w:szCs w:val="24"/>
          <w:lang w:eastAsia="en-US"/>
        </w:rPr>
      </w:pPr>
    </w:p>
    <w:p w14:paraId="4F02551F" w14:textId="77777777" w:rsidR="002C6675" w:rsidRDefault="002C6675" w:rsidP="00C470A9">
      <w:pPr>
        <w:jc w:val="right"/>
        <w:rPr>
          <w:rFonts w:eastAsia="Calibri"/>
          <w:sz w:val="24"/>
          <w:szCs w:val="24"/>
          <w:lang w:eastAsia="en-US"/>
        </w:rPr>
      </w:pPr>
    </w:p>
    <w:p w14:paraId="3676D022" w14:textId="77777777" w:rsidR="002C6675" w:rsidRDefault="002C6675" w:rsidP="00C470A9">
      <w:pPr>
        <w:jc w:val="right"/>
        <w:rPr>
          <w:rFonts w:eastAsia="Calibri"/>
          <w:sz w:val="24"/>
          <w:szCs w:val="24"/>
          <w:lang w:eastAsia="en-US"/>
        </w:rPr>
      </w:pPr>
    </w:p>
    <w:p w14:paraId="4672570F" w14:textId="77777777" w:rsidR="002C6675" w:rsidRDefault="002C6675" w:rsidP="00C470A9">
      <w:pPr>
        <w:jc w:val="right"/>
        <w:rPr>
          <w:rFonts w:eastAsia="Calibri"/>
          <w:sz w:val="24"/>
          <w:szCs w:val="24"/>
          <w:lang w:eastAsia="en-US"/>
        </w:rPr>
      </w:pPr>
    </w:p>
    <w:p w14:paraId="4E6E2206" w14:textId="77777777" w:rsidR="002C6675" w:rsidRDefault="002C6675" w:rsidP="00C470A9">
      <w:pPr>
        <w:jc w:val="right"/>
        <w:rPr>
          <w:rFonts w:eastAsia="Calibri"/>
          <w:sz w:val="24"/>
          <w:szCs w:val="24"/>
          <w:lang w:eastAsia="en-US"/>
        </w:rPr>
      </w:pPr>
    </w:p>
    <w:p w14:paraId="3A168F63" w14:textId="77777777" w:rsidR="002C6675" w:rsidRDefault="002C6675" w:rsidP="00C470A9">
      <w:pPr>
        <w:jc w:val="right"/>
        <w:rPr>
          <w:rFonts w:eastAsia="Calibri"/>
          <w:sz w:val="24"/>
          <w:szCs w:val="24"/>
          <w:lang w:eastAsia="en-US"/>
        </w:rPr>
      </w:pPr>
    </w:p>
    <w:p w14:paraId="03C592CA" w14:textId="77777777" w:rsidR="002C6675" w:rsidRDefault="002C6675" w:rsidP="00C470A9">
      <w:pPr>
        <w:jc w:val="right"/>
        <w:rPr>
          <w:rFonts w:eastAsia="Calibri"/>
          <w:sz w:val="24"/>
          <w:szCs w:val="24"/>
          <w:lang w:eastAsia="en-US"/>
        </w:rPr>
      </w:pPr>
    </w:p>
    <w:p w14:paraId="1ABA4CA6" w14:textId="77777777" w:rsidR="002C6675" w:rsidRDefault="002C6675" w:rsidP="00C470A9">
      <w:pPr>
        <w:jc w:val="right"/>
        <w:rPr>
          <w:rFonts w:eastAsia="Calibri"/>
          <w:sz w:val="24"/>
          <w:szCs w:val="24"/>
          <w:lang w:eastAsia="en-US"/>
        </w:rPr>
      </w:pPr>
    </w:p>
    <w:p w14:paraId="48F03BB4" w14:textId="77777777" w:rsidR="002C6675" w:rsidRDefault="002C6675" w:rsidP="00C470A9">
      <w:pPr>
        <w:jc w:val="right"/>
        <w:rPr>
          <w:rFonts w:eastAsia="Calibri"/>
          <w:sz w:val="24"/>
          <w:szCs w:val="24"/>
          <w:lang w:eastAsia="en-US"/>
        </w:rPr>
      </w:pPr>
    </w:p>
    <w:p w14:paraId="07689EF9" w14:textId="77777777" w:rsidR="002C6675" w:rsidRDefault="002C6675" w:rsidP="00C470A9">
      <w:pPr>
        <w:jc w:val="right"/>
        <w:rPr>
          <w:rFonts w:eastAsia="Calibri"/>
          <w:sz w:val="24"/>
          <w:szCs w:val="24"/>
          <w:lang w:eastAsia="en-US"/>
        </w:rPr>
      </w:pPr>
    </w:p>
    <w:p w14:paraId="5602A53D" w14:textId="77777777" w:rsidR="002C6675" w:rsidRDefault="002C6675" w:rsidP="00C470A9">
      <w:pPr>
        <w:jc w:val="right"/>
        <w:rPr>
          <w:rFonts w:eastAsia="Calibri"/>
          <w:sz w:val="24"/>
          <w:szCs w:val="24"/>
          <w:lang w:eastAsia="en-US"/>
        </w:rPr>
      </w:pPr>
    </w:p>
    <w:p w14:paraId="50A1F6A2" w14:textId="77777777" w:rsidR="002C6675" w:rsidRDefault="002C6675" w:rsidP="00C470A9">
      <w:pPr>
        <w:jc w:val="right"/>
        <w:rPr>
          <w:rFonts w:eastAsia="Calibri"/>
          <w:sz w:val="24"/>
          <w:szCs w:val="24"/>
          <w:lang w:eastAsia="en-US"/>
        </w:rPr>
      </w:pPr>
    </w:p>
    <w:p w14:paraId="64B66EC8" w14:textId="77777777" w:rsidR="002C6675" w:rsidRDefault="002C6675" w:rsidP="00C470A9">
      <w:pPr>
        <w:jc w:val="right"/>
        <w:rPr>
          <w:rFonts w:eastAsia="Calibri"/>
          <w:sz w:val="24"/>
          <w:szCs w:val="24"/>
          <w:lang w:eastAsia="en-US"/>
        </w:rPr>
      </w:pPr>
    </w:p>
    <w:p w14:paraId="2EC742B3" w14:textId="77777777" w:rsidR="002C6675" w:rsidRDefault="002C6675" w:rsidP="00C470A9">
      <w:pPr>
        <w:jc w:val="right"/>
        <w:rPr>
          <w:rFonts w:eastAsia="Calibri"/>
          <w:sz w:val="24"/>
          <w:szCs w:val="24"/>
          <w:lang w:eastAsia="en-US"/>
        </w:rPr>
      </w:pPr>
    </w:p>
    <w:p w14:paraId="6DCE4107" w14:textId="77777777" w:rsidR="002C6675" w:rsidRDefault="002C6675" w:rsidP="00C470A9">
      <w:pPr>
        <w:jc w:val="right"/>
        <w:rPr>
          <w:rFonts w:eastAsia="Calibri"/>
          <w:sz w:val="24"/>
          <w:szCs w:val="24"/>
          <w:lang w:eastAsia="en-US"/>
        </w:rPr>
      </w:pPr>
    </w:p>
    <w:p w14:paraId="00086100" w14:textId="77777777" w:rsidR="002C6675" w:rsidRDefault="002C6675" w:rsidP="00C470A9">
      <w:pPr>
        <w:jc w:val="right"/>
        <w:rPr>
          <w:rFonts w:eastAsia="Calibri"/>
          <w:sz w:val="24"/>
          <w:szCs w:val="24"/>
          <w:lang w:eastAsia="en-US"/>
        </w:rPr>
      </w:pPr>
    </w:p>
    <w:p w14:paraId="679BDD30" w14:textId="77777777" w:rsidR="002C6675" w:rsidRDefault="002C6675" w:rsidP="00C470A9">
      <w:pPr>
        <w:jc w:val="right"/>
        <w:rPr>
          <w:rFonts w:eastAsia="Calibri"/>
          <w:sz w:val="24"/>
          <w:szCs w:val="24"/>
          <w:lang w:eastAsia="en-US"/>
        </w:rPr>
      </w:pPr>
    </w:p>
    <w:p w14:paraId="3D9E6A85" w14:textId="77777777" w:rsidR="002C6675" w:rsidRDefault="002C6675" w:rsidP="00C470A9">
      <w:pPr>
        <w:jc w:val="right"/>
        <w:rPr>
          <w:rFonts w:eastAsia="Calibri"/>
          <w:sz w:val="24"/>
          <w:szCs w:val="24"/>
          <w:lang w:eastAsia="en-US"/>
        </w:rPr>
      </w:pPr>
    </w:p>
    <w:p w14:paraId="31FCE04F" w14:textId="77777777" w:rsidR="002C6675" w:rsidRDefault="002C6675" w:rsidP="00C470A9">
      <w:pPr>
        <w:jc w:val="right"/>
        <w:rPr>
          <w:rFonts w:eastAsia="Calibri"/>
          <w:sz w:val="24"/>
          <w:szCs w:val="24"/>
          <w:lang w:eastAsia="en-US"/>
        </w:rPr>
      </w:pPr>
    </w:p>
    <w:p w14:paraId="627F5EE3" w14:textId="709F5453" w:rsidR="002C6675" w:rsidRPr="00E90195" w:rsidRDefault="002C6675" w:rsidP="002C6675">
      <w:pPr>
        <w:jc w:val="right"/>
        <w:rPr>
          <w:rFonts w:eastAsia="Calibri"/>
          <w:sz w:val="22"/>
          <w:szCs w:val="22"/>
          <w:lang w:eastAsia="en-US"/>
        </w:rPr>
      </w:pPr>
      <w:r w:rsidRPr="00E90195">
        <w:rPr>
          <w:rFonts w:eastAsia="Calibri"/>
          <w:sz w:val="22"/>
          <w:szCs w:val="22"/>
          <w:lang w:eastAsia="en-US"/>
        </w:rPr>
        <w:t xml:space="preserve">Приложение </w:t>
      </w:r>
      <w:r>
        <w:rPr>
          <w:rFonts w:eastAsia="Calibri"/>
          <w:sz w:val="22"/>
          <w:szCs w:val="22"/>
          <w:lang w:eastAsia="en-US"/>
        </w:rPr>
        <w:t>2</w:t>
      </w:r>
      <w:r w:rsidRPr="00E90195">
        <w:rPr>
          <w:rFonts w:eastAsia="Calibri"/>
          <w:sz w:val="22"/>
          <w:szCs w:val="22"/>
          <w:lang w:eastAsia="en-US"/>
        </w:rPr>
        <w:t xml:space="preserve"> к Торговой документации</w:t>
      </w:r>
    </w:p>
    <w:p w14:paraId="2F02A5D9" w14:textId="77777777" w:rsidR="002C6675" w:rsidRPr="00D06D60" w:rsidRDefault="002C6675" w:rsidP="00C470A9">
      <w:pPr>
        <w:jc w:val="right"/>
        <w:rPr>
          <w:rFonts w:eastAsia="Calibri"/>
          <w:sz w:val="24"/>
          <w:szCs w:val="24"/>
          <w:lang w:eastAsia="en-US"/>
        </w:rPr>
      </w:pPr>
    </w:p>
    <w:p w14:paraId="26256A8E" w14:textId="77777777" w:rsidR="00B61CE1" w:rsidRPr="00E90195" w:rsidRDefault="00B61CE1"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292E1E93" w14:textId="77777777" w:rsidR="00D33B46" w:rsidRDefault="00D33B46" w:rsidP="00EC430A">
      <w:pPr>
        <w:rPr>
          <w:sz w:val="24"/>
          <w:szCs w:val="24"/>
        </w:rPr>
      </w:pPr>
    </w:p>
    <w:p w14:paraId="01BE5287" w14:textId="77777777" w:rsidR="00304D7B" w:rsidRPr="00E90195" w:rsidRDefault="00304D7B" w:rsidP="00EC430A">
      <w:pPr>
        <w:rPr>
          <w:sz w:val="24"/>
          <w:szCs w:val="24"/>
        </w:rPr>
      </w:pPr>
    </w:p>
    <w:p w14:paraId="69A510C0" w14:textId="3F461297"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lastRenderedPageBreak/>
        <w:t xml:space="preserve">Приложение </w:t>
      </w:r>
      <w:r w:rsidR="002C6675">
        <w:rPr>
          <w:sz w:val="24"/>
          <w:szCs w:val="24"/>
        </w:rPr>
        <w:t>3</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1397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89C6" w14:textId="77777777" w:rsidR="00EC2FD2" w:rsidRDefault="00EC2FD2" w:rsidP="00020E44">
      <w:r>
        <w:separator/>
      </w:r>
    </w:p>
  </w:endnote>
  <w:endnote w:type="continuationSeparator" w:id="0">
    <w:p w14:paraId="1B99C209" w14:textId="77777777" w:rsidR="00EC2FD2" w:rsidRDefault="00EC2FD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1208" w14:textId="77777777" w:rsidR="00EC2FD2" w:rsidRDefault="00EC2FD2" w:rsidP="00020E44">
      <w:r>
        <w:separator/>
      </w:r>
    </w:p>
  </w:footnote>
  <w:footnote w:type="continuationSeparator" w:id="0">
    <w:p w14:paraId="248E166F" w14:textId="77777777" w:rsidR="00EC2FD2" w:rsidRDefault="00EC2FD2"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6798468">
    <w:abstractNumId w:val="0"/>
  </w:num>
  <w:num w:numId="2" w16cid:durableId="445974952">
    <w:abstractNumId w:val="1"/>
  </w:num>
  <w:num w:numId="3" w16cid:durableId="1672832736">
    <w:abstractNumId w:val="7"/>
  </w:num>
  <w:num w:numId="4" w16cid:durableId="1955869569">
    <w:abstractNumId w:val="2"/>
  </w:num>
  <w:num w:numId="5" w16cid:durableId="100301517">
    <w:abstractNumId w:val="4"/>
    <w:lvlOverride w:ilvl="0">
      <w:startOverride w:val="1"/>
    </w:lvlOverride>
    <w:lvlOverride w:ilvl="1"/>
    <w:lvlOverride w:ilvl="2"/>
    <w:lvlOverride w:ilvl="3"/>
    <w:lvlOverride w:ilvl="4"/>
    <w:lvlOverride w:ilvl="5"/>
    <w:lvlOverride w:ilvl="6"/>
    <w:lvlOverride w:ilvl="7"/>
    <w:lvlOverride w:ilvl="8"/>
  </w:num>
  <w:num w:numId="6" w16cid:durableId="33237879">
    <w:abstractNumId w:val="3"/>
  </w:num>
  <w:num w:numId="7" w16cid:durableId="172578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996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D732A"/>
    <w:rsid w:val="000D7ECC"/>
    <w:rsid w:val="0010351D"/>
    <w:rsid w:val="00125202"/>
    <w:rsid w:val="00135C07"/>
    <w:rsid w:val="00147EBE"/>
    <w:rsid w:val="00151EEF"/>
    <w:rsid w:val="0015339A"/>
    <w:rsid w:val="0018334F"/>
    <w:rsid w:val="00184FF1"/>
    <w:rsid w:val="00191C23"/>
    <w:rsid w:val="001A139D"/>
    <w:rsid w:val="001A4322"/>
    <w:rsid w:val="001A48DE"/>
    <w:rsid w:val="001A4FEC"/>
    <w:rsid w:val="001B0C8B"/>
    <w:rsid w:val="001C1360"/>
    <w:rsid w:val="001C3868"/>
    <w:rsid w:val="001E0D4B"/>
    <w:rsid w:val="001E57BF"/>
    <w:rsid w:val="001F6DFF"/>
    <w:rsid w:val="0020448D"/>
    <w:rsid w:val="002327BC"/>
    <w:rsid w:val="00242116"/>
    <w:rsid w:val="0024227F"/>
    <w:rsid w:val="002465B4"/>
    <w:rsid w:val="00250A5E"/>
    <w:rsid w:val="00275198"/>
    <w:rsid w:val="00281B2E"/>
    <w:rsid w:val="00282060"/>
    <w:rsid w:val="0029467B"/>
    <w:rsid w:val="002A47F8"/>
    <w:rsid w:val="002A48B8"/>
    <w:rsid w:val="002B1C09"/>
    <w:rsid w:val="002B6080"/>
    <w:rsid w:val="002C16C9"/>
    <w:rsid w:val="002C6675"/>
    <w:rsid w:val="002E6214"/>
    <w:rsid w:val="002F17FE"/>
    <w:rsid w:val="00304D7B"/>
    <w:rsid w:val="00314375"/>
    <w:rsid w:val="0031724B"/>
    <w:rsid w:val="003214BC"/>
    <w:rsid w:val="00346DD0"/>
    <w:rsid w:val="003517EB"/>
    <w:rsid w:val="00377AA3"/>
    <w:rsid w:val="00377B44"/>
    <w:rsid w:val="0038146F"/>
    <w:rsid w:val="003862B6"/>
    <w:rsid w:val="00390008"/>
    <w:rsid w:val="00390899"/>
    <w:rsid w:val="003915E6"/>
    <w:rsid w:val="003A1751"/>
    <w:rsid w:val="003B4CBF"/>
    <w:rsid w:val="003C0393"/>
    <w:rsid w:val="003D41DE"/>
    <w:rsid w:val="003E53D6"/>
    <w:rsid w:val="003F6CF2"/>
    <w:rsid w:val="00411C0B"/>
    <w:rsid w:val="00424E22"/>
    <w:rsid w:val="0044147C"/>
    <w:rsid w:val="004456CD"/>
    <w:rsid w:val="004512F4"/>
    <w:rsid w:val="00474B20"/>
    <w:rsid w:val="00477AE3"/>
    <w:rsid w:val="00495437"/>
    <w:rsid w:val="004955C5"/>
    <w:rsid w:val="00497C09"/>
    <w:rsid w:val="004A2315"/>
    <w:rsid w:val="004A3A03"/>
    <w:rsid w:val="004A6E92"/>
    <w:rsid w:val="004A78CB"/>
    <w:rsid w:val="004B18E9"/>
    <w:rsid w:val="004E1FE6"/>
    <w:rsid w:val="004E3B5D"/>
    <w:rsid w:val="00510D9A"/>
    <w:rsid w:val="0051726C"/>
    <w:rsid w:val="005424ED"/>
    <w:rsid w:val="005661B6"/>
    <w:rsid w:val="0057403D"/>
    <w:rsid w:val="00575FB5"/>
    <w:rsid w:val="005859DB"/>
    <w:rsid w:val="00590D01"/>
    <w:rsid w:val="00594B5E"/>
    <w:rsid w:val="005A057C"/>
    <w:rsid w:val="005B163E"/>
    <w:rsid w:val="005E0170"/>
    <w:rsid w:val="005E4D03"/>
    <w:rsid w:val="00623EAB"/>
    <w:rsid w:val="006324E0"/>
    <w:rsid w:val="0065078A"/>
    <w:rsid w:val="006712A6"/>
    <w:rsid w:val="006856F1"/>
    <w:rsid w:val="006859A9"/>
    <w:rsid w:val="006861A8"/>
    <w:rsid w:val="006933C9"/>
    <w:rsid w:val="00694120"/>
    <w:rsid w:val="006A7596"/>
    <w:rsid w:val="006C1CFA"/>
    <w:rsid w:val="006C643E"/>
    <w:rsid w:val="006C715A"/>
    <w:rsid w:val="006E4908"/>
    <w:rsid w:val="006E5F3F"/>
    <w:rsid w:val="006F3A34"/>
    <w:rsid w:val="0071537B"/>
    <w:rsid w:val="0072501D"/>
    <w:rsid w:val="00732999"/>
    <w:rsid w:val="007446AA"/>
    <w:rsid w:val="00747441"/>
    <w:rsid w:val="00756F6F"/>
    <w:rsid w:val="00760848"/>
    <w:rsid w:val="00776965"/>
    <w:rsid w:val="00776EAD"/>
    <w:rsid w:val="0077706D"/>
    <w:rsid w:val="00782F8E"/>
    <w:rsid w:val="00786E9A"/>
    <w:rsid w:val="00792113"/>
    <w:rsid w:val="0079398D"/>
    <w:rsid w:val="00795722"/>
    <w:rsid w:val="007A56D6"/>
    <w:rsid w:val="007B0CC1"/>
    <w:rsid w:val="007B1F5B"/>
    <w:rsid w:val="007D03AC"/>
    <w:rsid w:val="007D27FE"/>
    <w:rsid w:val="007D531F"/>
    <w:rsid w:val="007F45F8"/>
    <w:rsid w:val="008000D3"/>
    <w:rsid w:val="00805A10"/>
    <w:rsid w:val="00807FF1"/>
    <w:rsid w:val="00863558"/>
    <w:rsid w:val="00872DF1"/>
    <w:rsid w:val="00875F6F"/>
    <w:rsid w:val="008862CE"/>
    <w:rsid w:val="00891601"/>
    <w:rsid w:val="008B47ED"/>
    <w:rsid w:val="008B4FCC"/>
    <w:rsid w:val="008C4E71"/>
    <w:rsid w:val="008D1E64"/>
    <w:rsid w:val="008D4D6D"/>
    <w:rsid w:val="008E0CC8"/>
    <w:rsid w:val="008F6A39"/>
    <w:rsid w:val="00915926"/>
    <w:rsid w:val="00924072"/>
    <w:rsid w:val="00940CEA"/>
    <w:rsid w:val="0095222D"/>
    <w:rsid w:val="00953C93"/>
    <w:rsid w:val="00954566"/>
    <w:rsid w:val="00965AF8"/>
    <w:rsid w:val="00970B75"/>
    <w:rsid w:val="009A48C4"/>
    <w:rsid w:val="009B091F"/>
    <w:rsid w:val="009B299D"/>
    <w:rsid w:val="009C0F20"/>
    <w:rsid w:val="009C46DB"/>
    <w:rsid w:val="009D443C"/>
    <w:rsid w:val="009E2985"/>
    <w:rsid w:val="009F7494"/>
    <w:rsid w:val="00A12673"/>
    <w:rsid w:val="00A13974"/>
    <w:rsid w:val="00A5020E"/>
    <w:rsid w:val="00A54634"/>
    <w:rsid w:val="00A54663"/>
    <w:rsid w:val="00A66290"/>
    <w:rsid w:val="00A81EAC"/>
    <w:rsid w:val="00A90363"/>
    <w:rsid w:val="00A90ED6"/>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5312"/>
    <w:rsid w:val="00C03E57"/>
    <w:rsid w:val="00C1100A"/>
    <w:rsid w:val="00C20A1C"/>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33B46"/>
    <w:rsid w:val="00D34E66"/>
    <w:rsid w:val="00D6008A"/>
    <w:rsid w:val="00D63EA0"/>
    <w:rsid w:val="00D7315B"/>
    <w:rsid w:val="00D74A01"/>
    <w:rsid w:val="00D74F7C"/>
    <w:rsid w:val="00D87DE9"/>
    <w:rsid w:val="00D93356"/>
    <w:rsid w:val="00DA26B9"/>
    <w:rsid w:val="00DA27EE"/>
    <w:rsid w:val="00DE1F6E"/>
    <w:rsid w:val="00DE2D76"/>
    <w:rsid w:val="00DE4693"/>
    <w:rsid w:val="00E00384"/>
    <w:rsid w:val="00E10240"/>
    <w:rsid w:val="00E13744"/>
    <w:rsid w:val="00E1535C"/>
    <w:rsid w:val="00E16DDF"/>
    <w:rsid w:val="00E3516C"/>
    <w:rsid w:val="00E371D1"/>
    <w:rsid w:val="00E530DD"/>
    <w:rsid w:val="00E53179"/>
    <w:rsid w:val="00E638E4"/>
    <w:rsid w:val="00E80174"/>
    <w:rsid w:val="00E83920"/>
    <w:rsid w:val="00E90195"/>
    <w:rsid w:val="00EA37F4"/>
    <w:rsid w:val="00EB5D73"/>
    <w:rsid w:val="00EC0D00"/>
    <w:rsid w:val="00EC2C61"/>
    <w:rsid w:val="00EC2FD2"/>
    <w:rsid w:val="00EC430A"/>
    <w:rsid w:val="00EE1A85"/>
    <w:rsid w:val="00EE4DC6"/>
    <w:rsid w:val="00F0556A"/>
    <w:rsid w:val="00F07358"/>
    <w:rsid w:val="00F30816"/>
    <w:rsid w:val="00F30B43"/>
    <w:rsid w:val="00F340C8"/>
    <w:rsid w:val="00F459E5"/>
    <w:rsid w:val="00F60B4D"/>
    <w:rsid w:val="00F67B4B"/>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34C3356-49A9-43BE-ADC1-E8FA4E9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styleId="af9">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7F3D-D1B0-4FC4-BA70-AB62F08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5583</Words>
  <Characters>31828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7</cp:revision>
  <cp:lastPrinted>2021-03-05T11:26:00Z</cp:lastPrinted>
  <dcterms:created xsi:type="dcterms:W3CDTF">2024-05-14T11:38:00Z</dcterms:created>
  <dcterms:modified xsi:type="dcterms:W3CDTF">2024-05-15T07:54:00Z</dcterms:modified>
</cp:coreProperties>
</file>