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81301A">
      <w:pPr>
        <w:keepNext/>
        <w:jc w:val="center"/>
        <w:rPr>
          <w:b/>
          <w:bCs/>
          <w:sz w:val="32"/>
          <w:szCs w:val="32"/>
        </w:rPr>
      </w:pPr>
      <w:r w:rsidRPr="00E90195">
        <w:rPr>
          <w:b/>
          <w:bCs/>
          <w:sz w:val="32"/>
          <w:szCs w:val="32"/>
        </w:rPr>
        <w:t>Торговая документация</w:t>
      </w:r>
    </w:p>
    <w:p w14:paraId="7AA65524" w14:textId="77777777" w:rsidR="00795722" w:rsidRPr="00E90195" w:rsidRDefault="00795722" w:rsidP="0081301A">
      <w:pPr>
        <w:keepNext/>
        <w:ind w:left="1414" w:hanging="705"/>
        <w:rPr>
          <w:b/>
          <w:bCs/>
          <w:sz w:val="24"/>
          <w:szCs w:val="24"/>
        </w:rPr>
      </w:pPr>
    </w:p>
    <w:p w14:paraId="567816F3" w14:textId="77777777" w:rsidR="00E3060A" w:rsidRDefault="00020E44" w:rsidP="0081301A">
      <w:pPr>
        <w:keepNext/>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E3060A" w:rsidRPr="00E3060A">
        <w:rPr>
          <w:rFonts w:eastAsiaTheme="minorHAnsi"/>
          <w:bCs/>
          <w:sz w:val="24"/>
          <w:szCs w:val="24"/>
          <w:lang w:eastAsia="en-US"/>
        </w:rPr>
        <w:t xml:space="preserve">право заключения договора уступки прав (требований) АО «Россельхозбанк» (Банк, Кредитор) по обязательствам ИП ГКФХ </w:t>
      </w:r>
      <w:proofErr w:type="spellStart"/>
      <w:r w:rsidR="00E3060A" w:rsidRPr="00E3060A">
        <w:rPr>
          <w:rFonts w:eastAsiaTheme="minorHAnsi"/>
          <w:bCs/>
          <w:sz w:val="24"/>
          <w:szCs w:val="24"/>
          <w:lang w:eastAsia="en-US"/>
        </w:rPr>
        <w:t>Абдулаев</w:t>
      </w:r>
      <w:proofErr w:type="spellEnd"/>
      <w:r w:rsidR="00E3060A" w:rsidRPr="00E3060A">
        <w:rPr>
          <w:rFonts w:eastAsiaTheme="minorHAnsi"/>
          <w:bCs/>
          <w:sz w:val="24"/>
          <w:szCs w:val="24"/>
          <w:lang w:eastAsia="en-US"/>
        </w:rPr>
        <w:t xml:space="preserve"> </w:t>
      </w:r>
      <w:proofErr w:type="spellStart"/>
      <w:r w:rsidR="00E3060A" w:rsidRPr="00E3060A">
        <w:rPr>
          <w:rFonts w:eastAsiaTheme="minorHAnsi"/>
          <w:bCs/>
          <w:sz w:val="24"/>
          <w:szCs w:val="24"/>
          <w:lang w:eastAsia="en-US"/>
        </w:rPr>
        <w:t>Абдулкарим</w:t>
      </w:r>
      <w:proofErr w:type="spellEnd"/>
      <w:r w:rsidR="00E3060A" w:rsidRPr="00E3060A">
        <w:rPr>
          <w:rFonts w:eastAsiaTheme="minorHAnsi"/>
          <w:bCs/>
          <w:sz w:val="24"/>
          <w:szCs w:val="24"/>
          <w:lang w:eastAsia="en-US"/>
        </w:rPr>
        <w:t xml:space="preserve"> </w:t>
      </w:r>
      <w:proofErr w:type="spellStart"/>
      <w:r w:rsidR="00E3060A" w:rsidRPr="00E3060A">
        <w:rPr>
          <w:rFonts w:eastAsiaTheme="minorHAnsi"/>
          <w:bCs/>
          <w:sz w:val="24"/>
          <w:szCs w:val="24"/>
          <w:lang w:eastAsia="en-US"/>
        </w:rPr>
        <w:t>Алиевич</w:t>
      </w:r>
      <w:proofErr w:type="spellEnd"/>
      <w:r w:rsidR="00E3060A" w:rsidRPr="00E3060A">
        <w:rPr>
          <w:rFonts w:eastAsiaTheme="minorHAnsi"/>
          <w:bCs/>
          <w:sz w:val="24"/>
          <w:szCs w:val="24"/>
          <w:lang w:eastAsia="en-US"/>
        </w:rPr>
        <w:t xml:space="preserve"> перед Банком (Дагестанский региональный филиал).</w:t>
      </w:r>
    </w:p>
    <w:p w14:paraId="461CE1F6" w14:textId="77777777" w:rsidR="00E3060A" w:rsidRDefault="00E3060A" w:rsidP="0081301A">
      <w:pPr>
        <w:keepNext/>
        <w:jc w:val="both"/>
        <w:rPr>
          <w:rFonts w:eastAsiaTheme="minorHAnsi"/>
          <w:bCs/>
          <w:sz w:val="24"/>
          <w:szCs w:val="24"/>
          <w:lang w:eastAsia="en-US"/>
        </w:rPr>
      </w:pPr>
    </w:p>
    <w:p w14:paraId="5448B7C9" w14:textId="581559A5" w:rsidR="002B6080" w:rsidRPr="00E90195" w:rsidRDefault="00F73765" w:rsidP="0081301A">
      <w:pPr>
        <w:keepNext/>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81301A">
      <w:pPr>
        <w:keepNext/>
        <w:tabs>
          <w:tab w:val="left" w:pos="851"/>
        </w:tabs>
        <w:ind w:right="141"/>
        <w:rPr>
          <w:b/>
          <w:bCs/>
          <w:sz w:val="24"/>
          <w:szCs w:val="24"/>
        </w:rPr>
      </w:pPr>
    </w:p>
    <w:p w14:paraId="00652356" w14:textId="114FF5B9" w:rsidR="00E371D1" w:rsidRPr="00E90195" w:rsidRDefault="00795722" w:rsidP="0081301A">
      <w:pPr>
        <w:keepNext/>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w:t>
      </w:r>
      <w:r w:rsidR="00E3060A">
        <w:rPr>
          <w:sz w:val="24"/>
          <w:szCs w:val="24"/>
        </w:rPr>
        <w:t>7</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E3060A">
        <w:rPr>
          <w:sz w:val="24"/>
          <w:szCs w:val="24"/>
        </w:rPr>
        <w:t>12</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81301A">
      <w:pPr>
        <w:keepNext/>
        <w:rPr>
          <w:b/>
          <w:bCs/>
          <w:sz w:val="24"/>
          <w:szCs w:val="24"/>
        </w:rPr>
      </w:pPr>
    </w:p>
    <w:p w14:paraId="668700ED" w14:textId="67243A9A" w:rsidR="005B163E" w:rsidRPr="00E90195" w:rsidRDefault="00020E44" w:rsidP="0081301A">
      <w:pPr>
        <w:keepNext/>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w:t>
      </w:r>
      <w:r w:rsidR="00E3060A">
        <w:rPr>
          <w:sz w:val="24"/>
          <w:szCs w:val="24"/>
        </w:rPr>
        <w:t>7</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81301A">
      <w:pPr>
        <w:keepNext/>
        <w:rPr>
          <w:b/>
          <w:bCs/>
          <w:sz w:val="24"/>
          <w:szCs w:val="24"/>
        </w:rPr>
      </w:pPr>
    </w:p>
    <w:p w14:paraId="585EAD5A" w14:textId="4EF3F94F" w:rsidR="00E371D1" w:rsidRPr="00E90195" w:rsidRDefault="00020E44" w:rsidP="0081301A">
      <w:pPr>
        <w:keepNext/>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E3060A">
        <w:rPr>
          <w:sz w:val="24"/>
          <w:szCs w:val="24"/>
        </w:rPr>
        <w:t>8</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81301A">
      <w:pPr>
        <w:keepNext/>
        <w:ind w:right="-1"/>
        <w:rPr>
          <w:b/>
          <w:bCs/>
          <w:sz w:val="24"/>
          <w:szCs w:val="24"/>
        </w:rPr>
      </w:pPr>
    </w:p>
    <w:p w14:paraId="6B09F264" w14:textId="09E3E2D7" w:rsidR="000C3648" w:rsidRDefault="00020E44" w:rsidP="0081301A">
      <w:pPr>
        <w:keepNext/>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5195C">
        <w:rPr>
          <w:sz w:val="24"/>
          <w:szCs w:val="24"/>
        </w:rPr>
        <w:t>8</w:t>
      </w:r>
      <w:r w:rsidR="000443F6">
        <w:rPr>
          <w:sz w:val="24"/>
          <w:szCs w:val="24"/>
        </w:rPr>
        <w:t xml:space="preserve">:00 </w:t>
      </w:r>
      <w:r w:rsidR="00A91E1D" w:rsidRPr="00A91E1D">
        <w:rPr>
          <w:sz w:val="24"/>
          <w:szCs w:val="24"/>
        </w:rPr>
        <w:t>по Московскому времени «</w:t>
      </w:r>
      <w:r w:rsidR="00E3060A">
        <w:rPr>
          <w:sz w:val="24"/>
          <w:szCs w:val="24"/>
        </w:rPr>
        <w:t>05</w:t>
      </w:r>
      <w:r w:rsidR="00A91E1D" w:rsidRPr="00A91E1D">
        <w:rPr>
          <w:sz w:val="24"/>
          <w:szCs w:val="24"/>
        </w:rPr>
        <w:t xml:space="preserve">» </w:t>
      </w:r>
      <w:bookmarkStart w:id="3" w:name="_Hlk176917284"/>
      <w:r w:rsidR="00E3060A">
        <w:rPr>
          <w:sz w:val="24"/>
          <w:szCs w:val="24"/>
        </w:rPr>
        <w:t>н</w:t>
      </w:r>
      <w:r w:rsidR="004177A7">
        <w:rPr>
          <w:sz w:val="24"/>
          <w:szCs w:val="24"/>
        </w:rPr>
        <w:t>о</w:t>
      </w:r>
      <w:r w:rsidR="00EA57C7" w:rsidRPr="00EA57C7">
        <w:rPr>
          <w:sz w:val="24"/>
          <w:szCs w:val="24"/>
        </w:rPr>
        <w:t>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81301A">
      <w:pPr>
        <w:keepNext/>
        <w:ind w:right="-1"/>
        <w:rPr>
          <w:b/>
          <w:bCs/>
          <w:sz w:val="24"/>
          <w:szCs w:val="24"/>
        </w:rPr>
      </w:pPr>
    </w:p>
    <w:p w14:paraId="5C8D70DD" w14:textId="1A1EE672" w:rsidR="005B163E" w:rsidRDefault="00020E44" w:rsidP="0081301A">
      <w:pPr>
        <w:keepNext/>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E3060A">
        <w:rPr>
          <w:sz w:val="24"/>
          <w:szCs w:val="24"/>
        </w:rPr>
        <w:t>11</w:t>
      </w:r>
      <w:r w:rsidR="00DC609A" w:rsidRPr="00DC609A">
        <w:rPr>
          <w:sz w:val="24"/>
          <w:szCs w:val="24"/>
        </w:rPr>
        <w:t xml:space="preserve">» </w:t>
      </w:r>
      <w:r w:rsidR="00B44510" w:rsidRPr="00B44510">
        <w:rPr>
          <w:sz w:val="24"/>
          <w:szCs w:val="24"/>
        </w:rPr>
        <w:t>ноября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81301A">
      <w:pPr>
        <w:keepNext/>
        <w:rPr>
          <w:b/>
          <w:bCs/>
          <w:sz w:val="24"/>
          <w:szCs w:val="24"/>
        </w:rPr>
      </w:pPr>
    </w:p>
    <w:p w14:paraId="313FF2CB" w14:textId="77777777" w:rsidR="00B44510" w:rsidRDefault="00020E44" w:rsidP="0081301A">
      <w:pPr>
        <w:keepNext/>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75954EDD" w:rsidR="00EA57C7" w:rsidRDefault="004177A7" w:rsidP="0081301A">
      <w:pPr>
        <w:keepNext/>
        <w:rPr>
          <w:sz w:val="24"/>
          <w:szCs w:val="24"/>
        </w:rPr>
      </w:pPr>
      <w:r w:rsidRPr="004177A7">
        <w:rPr>
          <w:sz w:val="24"/>
          <w:szCs w:val="24"/>
        </w:rPr>
        <w:t>«</w:t>
      </w:r>
      <w:r w:rsidR="00E3060A">
        <w:rPr>
          <w:sz w:val="24"/>
          <w:szCs w:val="24"/>
        </w:rPr>
        <w:t>11</w:t>
      </w:r>
      <w:r w:rsidRPr="004177A7">
        <w:rPr>
          <w:sz w:val="24"/>
          <w:szCs w:val="24"/>
        </w:rPr>
        <w:t xml:space="preserve">» </w:t>
      </w:r>
      <w:r w:rsidR="00B44510" w:rsidRPr="00B44510">
        <w:rPr>
          <w:sz w:val="24"/>
          <w:szCs w:val="24"/>
        </w:rPr>
        <w:t>ноября</w:t>
      </w:r>
      <w:r w:rsidRPr="004177A7">
        <w:rPr>
          <w:sz w:val="24"/>
          <w:szCs w:val="24"/>
        </w:rPr>
        <w:t xml:space="preserve"> 2024.</w:t>
      </w:r>
    </w:p>
    <w:p w14:paraId="4558D21D" w14:textId="77777777" w:rsidR="004177A7" w:rsidRPr="00E90195" w:rsidRDefault="004177A7" w:rsidP="0081301A">
      <w:pPr>
        <w:keepNext/>
        <w:rPr>
          <w:b/>
          <w:bCs/>
          <w:sz w:val="24"/>
          <w:szCs w:val="24"/>
        </w:rPr>
      </w:pPr>
    </w:p>
    <w:p w14:paraId="3543B2FA" w14:textId="4A66A790" w:rsidR="00FB2AC2" w:rsidRDefault="00020E44" w:rsidP="0081301A">
      <w:pPr>
        <w:keepNext/>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E3060A">
        <w:rPr>
          <w:sz w:val="24"/>
          <w:szCs w:val="24"/>
        </w:rPr>
        <w:t>12</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81301A">
      <w:pPr>
        <w:keepNext/>
        <w:rPr>
          <w:b/>
          <w:bCs/>
          <w:sz w:val="24"/>
          <w:szCs w:val="24"/>
        </w:rPr>
      </w:pPr>
    </w:p>
    <w:p w14:paraId="438A1536" w14:textId="22CC56A3" w:rsidR="00EA57C7" w:rsidRDefault="00020E44" w:rsidP="0081301A">
      <w:pPr>
        <w:keepNext/>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w:t>
      </w:r>
      <w:r w:rsidR="00E3060A">
        <w:rPr>
          <w:sz w:val="24"/>
          <w:szCs w:val="24"/>
        </w:rPr>
        <w:t>12</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81301A">
      <w:pPr>
        <w:keepNext/>
        <w:rPr>
          <w:sz w:val="24"/>
          <w:szCs w:val="24"/>
        </w:rPr>
      </w:pPr>
    </w:p>
    <w:p w14:paraId="5AB38A9D" w14:textId="22E87703" w:rsidR="004619F5" w:rsidRDefault="00020E44" w:rsidP="0081301A">
      <w:pPr>
        <w:keepNext/>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w:t>
      </w:r>
      <w:r w:rsidR="00E3060A">
        <w:rPr>
          <w:sz w:val="24"/>
          <w:szCs w:val="24"/>
        </w:rPr>
        <w:t>12</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81301A">
      <w:pPr>
        <w:keepNext/>
        <w:rPr>
          <w:b/>
          <w:bCs/>
          <w:sz w:val="24"/>
          <w:szCs w:val="24"/>
        </w:rPr>
      </w:pPr>
    </w:p>
    <w:p w14:paraId="1CD8717E" w14:textId="6A253E2E" w:rsidR="00424E22" w:rsidRPr="00F0556A" w:rsidRDefault="00424E22" w:rsidP="0081301A">
      <w:pPr>
        <w:keepNext/>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81301A">
      <w:pPr>
        <w:keepNext/>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81301A">
      <w:pPr>
        <w:keepNext/>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81301A">
      <w:pPr>
        <w:keepNext/>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81301A">
      <w:pPr>
        <w:keepNext/>
        <w:rPr>
          <w:bCs/>
          <w:sz w:val="24"/>
          <w:szCs w:val="24"/>
        </w:rPr>
      </w:pPr>
    </w:p>
    <w:p w14:paraId="711E1347" w14:textId="1FA75FC7" w:rsidR="00424E22" w:rsidRPr="00E90195" w:rsidRDefault="00424E22" w:rsidP="0081301A">
      <w:pPr>
        <w:keepNext/>
        <w:rPr>
          <w:b/>
          <w:sz w:val="24"/>
          <w:szCs w:val="24"/>
        </w:rPr>
      </w:pPr>
      <w:r w:rsidRPr="00E90195">
        <w:rPr>
          <w:b/>
          <w:sz w:val="24"/>
          <w:szCs w:val="24"/>
        </w:rPr>
        <w:t xml:space="preserve">Сведения о продавце: </w:t>
      </w:r>
    </w:p>
    <w:p w14:paraId="59866B9A" w14:textId="77777777" w:rsidR="003D61DC" w:rsidRPr="003D61DC" w:rsidRDefault="004619F5" w:rsidP="0081301A">
      <w:pPr>
        <w:keepNext/>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81301A">
      <w:pPr>
        <w:keepNext/>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81301A">
      <w:pPr>
        <w:keepNext/>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81301A">
      <w:pPr>
        <w:keepNext/>
        <w:rPr>
          <w:sz w:val="24"/>
          <w:szCs w:val="24"/>
        </w:rPr>
      </w:pPr>
      <w:r w:rsidRPr="000443F6">
        <w:rPr>
          <w:sz w:val="24"/>
          <w:szCs w:val="24"/>
        </w:rPr>
        <w:t>ИНН 7725114488, ОГРН 1027700342890</w:t>
      </w:r>
    </w:p>
    <w:p w14:paraId="45CC6338" w14:textId="77777777" w:rsidR="000443F6" w:rsidRPr="000443F6" w:rsidRDefault="000443F6" w:rsidP="0081301A">
      <w:pPr>
        <w:keepNext/>
        <w:rPr>
          <w:sz w:val="24"/>
          <w:szCs w:val="24"/>
        </w:rPr>
      </w:pPr>
    </w:p>
    <w:p w14:paraId="13194E88" w14:textId="7A7C9DC9" w:rsidR="0051726C" w:rsidRPr="00E90195" w:rsidRDefault="00424E22" w:rsidP="0081301A">
      <w:pPr>
        <w:keepNext/>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81301A">
      <w:pPr>
        <w:keepNext/>
        <w:rPr>
          <w:bCs/>
          <w:sz w:val="24"/>
          <w:szCs w:val="24"/>
        </w:rPr>
      </w:pPr>
    </w:p>
    <w:p w14:paraId="7665BD70" w14:textId="081FF9EB" w:rsidR="00620E83" w:rsidRDefault="005B163E" w:rsidP="0081301A">
      <w:pPr>
        <w:keepNext/>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81301A">
      <w:pPr>
        <w:keepNext/>
        <w:rPr>
          <w:sz w:val="24"/>
          <w:szCs w:val="24"/>
        </w:rPr>
      </w:pPr>
    </w:p>
    <w:p w14:paraId="49057F83" w14:textId="0791AFA3" w:rsidR="005B163E" w:rsidRPr="00E90195" w:rsidRDefault="005B163E" w:rsidP="0081301A">
      <w:pPr>
        <w:keepNext/>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81301A">
      <w:pPr>
        <w:keepNext/>
        <w:rPr>
          <w:b/>
          <w:bCs/>
          <w:sz w:val="24"/>
          <w:szCs w:val="24"/>
        </w:rPr>
      </w:pPr>
    </w:p>
    <w:p w14:paraId="5A2F7DA5" w14:textId="53140A27" w:rsidR="00620E83" w:rsidRDefault="005B163E" w:rsidP="0081301A">
      <w:pPr>
        <w:keepNext/>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A23AAE">
        <w:rPr>
          <w:sz w:val="24"/>
          <w:szCs w:val="24"/>
        </w:rPr>
        <w:t>1</w:t>
      </w:r>
      <w:r w:rsidR="000443F6" w:rsidRPr="000443F6">
        <w:rPr>
          <w:sz w:val="24"/>
          <w:szCs w:val="24"/>
        </w:rPr>
        <w:t xml:space="preserve">00 000 </w:t>
      </w:r>
      <w:r w:rsidR="000443F6">
        <w:rPr>
          <w:sz w:val="24"/>
          <w:szCs w:val="24"/>
        </w:rPr>
        <w:t>(</w:t>
      </w:r>
      <w:r w:rsidR="00A23AAE">
        <w:rPr>
          <w:sz w:val="24"/>
          <w:szCs w:val="24"/>
        </w:rPr>
        <w:t>сто</w:t>
      </w:r>
      <w:r w:rsidR="000443F6">
        <w:rPr>
          <w:sz w:val="24"/>
          <w:szCs w:val="24"/>
        </w:rPr>
        <w:t xml:space="preserve">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81301A">
      <w:pPr>
        <w:keepNext/>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81301A">
      <w:pPr>
        <w:keepNext/>
        <w:rPr>
          <w:sz w:val="24"/>
          <w:szCs w:val="24"/>
        </w:rPr>
      </w:pPr>
    </w:p>
    <w:p w14:paraId="74555902" w14:textId="77777777" w:rsidR="005B163E" w:rsidRPr="00E90195" w:rsidRDefault="005B163E" w:rsidP="0081301A">
      <w:pPr>
        <w:keepNext/>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81301A">
      <w:pPr>
        <w:keepNext/>
        <w:tabs>
          <w:tab w:val="left" w:pos="142"/>
        </w:tabs>
        <w:rPr>
          <w:spacing w:val="-2"/>
          <w:sz w:val="24"/>
          <w:szCs w:val="24"/>
        </w:rPr>
      </w:pPr>
    </w:p>
    <w:p w14:paraId="7C42019B" w14:textId="5BFAD536" w:rsidR="00424E22" w:rsidRPr="00E90195" w:rsidRDefault="00424E22" w:rsidP="0081301A">
      <w:pPr>
        <w:keepNext/>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81301A">
      <w:pPr>
        <w:keepNext/>
        <w:tabs>
          <w:tab w:val="left" w:pos="142"/>
        </w:tabs>
        <w:rPr>
          <w:sz w:val="24"/>
          <w:szCs w:val="24"/>
        </w:rPr>
      </w:pPr>
    </w:p>
    <w:p w14:paraId="0B44957E" w14:textId="1697168B" w:rsidR="007A56D6" w:rsidRPr="00E90195" w:rsidRDefault="00424E22" w:rsidP="0081301A">
      <w:pPr>
        <w:keepNext/>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81301A">
      <w:pPr>
        <w:keepNext/>
        <w:rPr>
          <w:b/>
          <w:sz w:val="24"/>
          <w:szCs w:val="24"/>
        </w:rPr>
      </w:pPr>
    </w:p>
    <w:p w14:paraId="0D0F7B39" w14:textId="5F232980" w:rsidR="005B163E" w:rsidRPr="00E90195" w:rsidRDefault="005B163E" w:rsidP="0081301A">
      <w:pPr>
        <w:keepNext/>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81301A">
      <w:pPr>
        <w:keepNext/>
        <w:rPr>
          <w:b/>
          <w:sz w:val="24"/>
          <w:szCs w:val="24"/>
        </w:rPr>
      </w:pPr>
    </w:p>
    <w:p w14:paraId="470287EC" w14:textId="3BFAA98F" w:rsidR="003013CD" w:rsidRDefault="001E57BF" w:rsidP="0081301A">
      <w:pPr>
        <w:keepNext/>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 xml:space="preserve">не позднее </w:t>
      </w:r>
      <w:r w:rsidR="00B44510" w:rsidRPr="00B44510">
        <w:rPr>
          <w:sz w:val="24"/>
          <w:szCs w:val="24"/>
        </w:rPr>
        <w:t>2 рабочи</w:t>
      </w:r>
      <w:r w:rsidR="00414779" w:rsidRPr="00414779">
        <w:rPr>
          <w:sz w:val="24"/>
          <w:szCs w:val="24"/>
        </w:rPr>
        <w:t>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81301A">
      <w:pPr>
        <w:keepNext/>
        <w:jc w:val="both"/>
        <w:rPr>
          <w:b/>
          <w:sz w:val="24"/>
          <w:szCs w:val="24"/>
        </w:rPr>
      </w:pPr>
    </w:p>
    <w:p w14:paraId="1C080CF1" w14:textId="24EDB3BC" w:rsidR="00620E83" w:rsidRDefault="00424E22" w:rsidP="0081301A">
      <w:pPr>
        <w:keepNext/>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81301A">
      <w:pPr>
        <w:keepNext/>
        <w:jc w:val="both"/>
        <w:rPr>
          <w:sz w:val="24"/>
          <w:szCs w:val="24"/>
        </w:rPr>
      </w:pPr>
    </w:p>
    <w:p w14:paraId="632A773F" w14:textId="2261C67A" w:rsidR="002B6080" w:rsidRPr="00E90195" w:rsidRDefault="002B6080" w:rsidP="0081301A">
      <w:pPr>
        <w:keepNext/>
        <w:jc w:val="both"/>
        <w:rPr>
          <w:b/>
          <w:sz w:val="24"/>
          <w:szCs w:val="24"/>
        </w:rPr>
      </w:pPr>
      <w:r w:rsidRPr="00E90195">
        <w:rPr>
          <w:b/>
          <w:sz w:val="24"/>
          <w:szCs w:val="24"/>
        </w:rPr>
        <w:t>Описание объекта продажи:</w:t>
      </w:r>
    </w:p>
    <w:p w14:paraId="6F2D8B1F" w14:textId="77777777" w:rsidR="002B6080" w:rsidRDefault="002B6080" w:rsidP="0081301A">
      <w:pPr>
        <w:keepNext/>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E3060A"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3AF1A5D5" w:rsidR="00E3060A" w:rsidRPr="000443F6" w:rsidRDefault="00E3060A" w:rsidP="0081301A">
            <w:pPr>
              <w:keepNext/>
              <w:tabs>
                <w:tab w:val="left" w:pos="737"/>
              </w:tabs>
              <w:jc w:val="center"/>
              <w:rPr>
                <w:sz w:val="18"/>
                <w:szCs w:val="18"/>
              </w:rPr>
            </w:pPr>
            <w: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6792C5FD" w:rsidR="00E3060A" w:rsidRPr="000443F6" w:rsidRDefault="00E3060A" w:rsidP="0081301A">
            <w:pPr>
              <w:keepNext/>
              <w:jc w:val="center"/>
              <w:rPr>
                <w:sz w:val="18"/>
                <w:szCs w:val="18"/>
              </w:rPr>
            </w:pPr>
            <w: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83FE83" w14:textId="77777777" w:rsidR="00E3060A" w:rsidRDefault="00E3060A" w:rsidP="0081301A">
            <w:pPr>
              <w:keepNext/>
              <w:ind w:left="-79" w:right="-110"/>
              <w:jc w:val="center"/>
            </w:pPr>
            <w:r>
              <w:t>Начальная цена</w:t>
            </w:r>
          </w:p>
          <w:p w14:paraId="171979C3" w14:textId="69C7AA20" w:rsidR="00E3060A" w:rsidRPr="000443F6" w:rsidRDefault="00E3060A" w:rsidP="0081301A">
            <w:pPr>
              <w:keepNext/>
              <w:jc w:val="center"/>
              <w:rPr>
                <w:sz w:val="18"/>
                <w:szCs w:val="18"/>
              </w:rP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00FE3E" w14:textId="77777777" w:rsidR="00E3060A" w:rsidRDefault="00E3060A" w:rsidP="0081301A">
            <w:pPr>
              <w:keepNext/>
              <w:jc w:val="center"/>
            </w:pPr>
            <w:r>
              <w:t>Сведения о</w:t>
            </w:r>
          </w:p>
          <w:p w14:paraId="0A2683B1" w14:textId="77777777" w:rsidR="00E3060A" w:rsidRDefault="00E3060A" w:rsidP="0081301A">
            <w:pPr>
              <w:keepNext/>
              <w:jc w:val="center"/>
            </w:pPr>
            <w:r>
              <w:t>правоустанавливающих</w:t>
            </w:r>
          </w:p>
          <w:p w14:paraId="58244013" w14:textId="0296D7C0" w:rsidR="00E3060A" w:rsidRPr="000443F6" w:rsidRDefault="00E3060A" w:rsidP="0081301A">
            <w:pPr>
              <w:keepNext/>
              <w:jc w:val="center"/>
              <w:rPr>
                <w:sz w:val="18"/>
                <w:szCs w:val="18"/>
              </w:rPr>
            </w:pPr>
            <w: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EDBF4" w14:textId="77777777" w:rsidR="00E3060A" w:rsidRDefault="00E3060A" w:rsidP="0081301A">
            <w:pPr>
              <w:keepNext/>
              <w:jc w:val="center"/>
            </w:pPr>
            <w:r>
              <w:t>Сведения об обременениях</w:t>
            </w:r>
          </w:p>
          <w:p w14:paraId="7E609946" w14:textId="50F9016C" w:rsidR="00E3060A" w:rsidRPr="000443F6" w:rsidRDefault="00E3060A" w:rsidP="0081301A">
            <w:pPr>
              <w:keepNext/>
              <w:jc w:val="center"/>
              <w:rPr>
                <w:sz w:val="18"/>
                <w:szCs w:val="18"/>
              </w:rPr>
            </w:pPr>
            <w:r>
              <w:t>третьих лиц</w:t>
            </w:r>
          </w:p>
        </w:tc>
      </w:tr>
      <w:tr w:rsidR="00E3060A"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6C6FF5BA" w:rsidR="00E3060A" w:rsidRPr="000443F6" w:rsidRDefault="00E3060A" w:rsidP="0081301A">
            <w:pPr>
              <w:keepNext/>
              <w:tabs>
                <w:tab w:val="left" w:pos="737"/>
              </w:tabs>
              <w:rPr>
                <w:sz w:val="18"/>
                <w:szCs w:val="18"/>
                <w:lang w:val="en-US"/>
              </w:rPr>
            </w:pPr>
            <w:r>
              <w:t>1</w:t>
            </w:r>
          </w:p>
        </w:tc>
        <w:tc>
          <w:tcPr>
            <w:tcW w:w="4961" w:type="dxa"/>
            <w:tcBorders>
              <w:top w:val="single" w:sz="4" w:space="0" w:color="auto"/>
              <w:left w:val="single" w:sz="4" w:space="0" w:color="auto"/>
              <w:bottom w:val="single" w:sz="4" w:space="0" w:color="auto"/>
              <w:right w:val="single" w:sz="4" w:space="0" w:color="auto"/>
            </w:tcBorders>
            <w:vAlign w:val="center"/>
          </w:tcPr>
          <w:p w14:paraId="1E32D264" w14:textId="77777777" w:rsidR="00E3060A" w:rsidRDefault="00E3060A" w:rsidP="0081301A">
            <w:pPr>
              <w:keepNext/>
              <w:tabs>
                <w:tab w:val="left" w:pos="214"/>
                <w:tab w:val="left" w:pos="1046"/>
                <w:tab w:val="left" w:pos="1213"/>
              </w:tabs>
              <w:jc w:val="both"/>
              <w:rPr>
                <w:rFonts w:eastAsiaTheme="minorHAnsi"/>
              </w:rPr>
            </w:pPr>
            <w: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3C3D786C" w14:textId="5169714D" w:rsidR="00E3060A" w:rsidRPr="000443F6" w:rsidRDefault="0081301A" w:rsidP="0081301A">
            <w:pPr>
              <w:keepNext/>
              <w:jc w:val="both"/>
              <w:rPr>
                <w:sz w:val="18"/>
                <w:szCs w:val="18"/>
              </w:rPr>
            </w:pPr>
            <w:r w:rsidRPr="00E3060A">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59" w:type="dxa"/>
            <w:tcBorders>
              <w:top w:val="single" w:sz="4" w:space="0" w:color="auto"/>
              <w:left w:val="single" w:sz="4" w:space="0" w:color="auto"/>
              <w:bottom w:val="single" w:sz="4" w:space="0" w:color="auto"/>
              <w:right w:val="single" w:sz="4" w:space="0" w:color="auto"/>
            </w:tcBorders>
            <w:hideMark/>
          </w:tcPr>
          <w:p w14:paraId="1D4192D7" w14:textId="2D02926E" w:rsidR="00E3060A" w:rsidRPr="000443F6" w:rsidRDefault="00E3060A" w:rsidP="0081301A">
            <w:pPr>
              <w:keepNext/>
              <w:jc w:val="center"/>
              <w:rPr>
                <w:sz w:val="18"/>
                <w:szCs w:val="18"/>
              </w:rPr>
            </w:pPr>
            <w:r>
              <w:t>1 510 681,15</w:t>
            </w:r>
          </w:p>
        </w:tc>
        <w:tc>
          <w:tcPr>
            <w:tcW w:w="1559" w:type="dxa"/>
            <w:tcBorders>
              <w:top w:val="single" w:sz="4" w:space="0" w:color="auto"/>
              <w:left w:val="single" w:sz="4" w:space="0" w:color="auto"/>
              <w:bottom w:val="single" w:sz="4" w:space="0" w:color="auto"/>
              <w:right w:val="single" w:sz="4" w:space="0" w:color="auto"/>
            </w:tcBorders>
          </w:tcPr>
          <w:p w14:paraId="1C057148" w14:textId="051BEA14" w:rsidR="00E3060A" w:rsidRPr="000443F6" w:rsidRDefault="00E3060A" w:rsidP="0081301A">
            <w:pPr>
              <w:keepNext/>
              <w:jc w:val="center"/>
              <w:rPr>
                <w:rFonts w:eastAsia="Calibri"/>
                <w:sz w:val="18"/>
                <w:szCs w:val="18"/>
              </w:rPr>
            </w:pPr>
            <w:r>
              <w:t>Согласно Приложению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531916D8" w:rsidR="00E3060A" w:rsidRPr="000443F6" w:rsidRDefault="00E3060A" w:rsidP="0081301A">
            <w:pPr>
              <w:keepNext/>
              <w:jc w:val="center"/>
              <w:rPr>
                <w:sz w:val="18"/>
                <w:szCs w:val="18"/>
              </w:rPr>
            </w:pPr>
            <w:r>
              <w:rPr>
                <w:szCs w:val="18"/>
              </w:rPr>
              <w:t>Залог АО «Россельхозбанк»</w:t>
            </w:r>
          </w:p>
        </w:tc>
      </w:tr>
    </w:tbl>
    <w:p w14:paraId="43F7C549" w14:textId="77777777" w:rsidR="000A37F0" w:rsidRDefault="000A37F0" w:rsidP="0081301A">
      <w:pPr>
        <w:keepNext/>
        <w:jc w:val="both"/>
        <w:rPr>
          <w:sz w:val="24"/>
          <w:szCs w:val="24"/>
        </w:rPr>
      </w:pPr>
    </w:p>
    <w:p w14:paraId="1A2D8B36" w14:textId="1A24E790" w:rsidR="000A37F0" w:rsidRPr="00E90195" w:rsidRDefault="000443F6" w:rsidP="0081301A">
      <w:pPr>
        <w:keepNext/>
        <w:ind w:firstLine="709"/>
        <w:jc w:val="both"/>
        <w:rPr>
          <w:sz w:val="24"/>
          <w:szCs w:val="24"/>
        </w:rPr>
      </w:pPr>
      <w:r w:rsidRPr="000443F6">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w:t>
      </w:r>
      <w:proofErr w:type="spellStart"/>
      <w:r w:rsidRPr="000443F6">
        <w:rPr>
          <w:sz w:val="24"/>
          <w:szCs w:val="24"/>
        </w:rPr>
        <w:t>Россельхозбанк</w:t>
      </w:r>
      <w:proofErr w:type="spellEnd"/>
      <w:r w:rsidRPr="000443F6">
        <w:rPr>
          <w:sz w:val="24"/>
          <w:szCs w:val="24"/>
        </w:rPr>
        <w:t xml:space="preserve">» - Магомедов </w:t>
      </w:r>
      <w:proofErr w:type="spellStart"/>
      <w:r w:rsidRPr="000443F6">
        <w:rPr>
          <w:sz w:val="24"/>
          <w:szCs w:val="24"/>
        </w:rPr>
        <w:t>Багавудин</w:t>
      </w:r>
      <w:proofErr w:type="spellEnd"/>
      <w:r w:rsidRPr="000443F6">
        <w:rPr>
          <w:sz w:val="24"/>
          <w:szCs w:val="24"/>
        </w:rPr>
        <w:t xml:space="preserve"> </w:t>
      </w:r>
      <w:proofErr w:type="spellStart"/>
      <w:r w:rsidRPr="000443F6">
        <w:rPr>
          <w:sz w:val="24"/>
          <w:szCs w:val="24"/>
        </w:rPr>
        <w:t>Исмаилович</w:t>
      </w:r>
      <w:proofErr w:type="spellEnd"/>
      <w:r w:rsidRPr="000443F6">
        <w:rPr>
          <w:sz w:val="24"/>
          <w:szCs w:val="24"/>
        </w:rPr>
        <w:t>.</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4188F7CD"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A23AAE">
        <w:rPr>
          <w:sz w:val="24"/>
          <w:szCs w:val="24"/>
        </w:rPr>
        <w:t>1</w:t>
      </w:r>
      <w:r w:rsidR="000443F6" w:rsidRPr="000443F6">
        <w:rPr>
          <w:sz w:val="24"/>
          <w:szCs w:val="24"/>
        </w:rPr>
        <w:t>00 000 (</w:t>
      </w:r>
      <w:r w:rsidR="00653268">
        <w:rPr>
          <w:sz w:val="24"/>
          <w:szCs w:val="24"/>
        </w:rPr>
        <w:t>ст</w:t>
      </w:r>
      <w:r w:rsidR="00A23AAE">
        <w:rPr>
          <w:sz w:val="24"/>
          <w:szCs w:val="24"/>
        </w:rPr>
        <w:t>о</w:t>
      </w:r>
      <w:r w:rsidR="00B44510">
        <w:rPr>
          <w:sz w:val="24"/>
          <w:szCs w:val="24"/>
        </w:rPr>
        <w:t xml:space="preserve"> </w:t>
      </w:r>
      <w:r w:rsidR="000443F6" w:rsidRPr="000443F6">
        <w:rPr>
          <w:sz w:val="24"/>
          <w:szCs w:val="24"/>
        </w:rPr>
        <w:t>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p w14:paraId="708EB30E" w14:textId="77777777" w:rsidR="00E3060A" w:rsidRPr="00B44510" w:rsidRDefault="00B44510" w:rsidP="00B44510">
      <w:pPr>
        <w:jc w:val="center"/>
        <w:rPr>
          <w:rFonts w:eastAsia="Calibri"/>
          <w:sz w:val="24"/>
          <w:lang w:eastAsia="en-US"/>
        </w:rPr>
      </w:pPr>
      <w:r w:rsidRPr="00B44510">
        <w:rPr>
          <w:rFonts w:eastAsia="Calibri"/>
          <w:b/>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0"/>
      </w:tblGrid>
      <w:tr w:rsidR="00E3060A" w14:paraId="7487081C" w14:textId="77777777" w:rsidTr="00E3060A">
        <w:trPr>
          <w:trHeight w:val="64"/>
        </w:trPr>
        <w:tc>
          <w:tcPr>
            <w:tcW w:w="9492" w:type="dxa"/>
            <w:gridSpan w:val="2"/>
            <w:tcBorders>
              <w:top w:val="single" w:sz="4" w:space="0" w:color="auto"/>
              <w:left w:val="single" w:sz="4" w:space="0" w:color="auto"/>
              <w:bottom w:val="single" w:sz="4" w:space="0" w:color="auto"/>
              <w:right w:val="single" w:sz="4" w:space="0" w:color="auto"/>
            </w:tcBorders>
            <w:hideMark/>
          </w:tcPr>
          <w:p w14:paraId="2D782097" w14:textId="77777777" w:rsidR="00E3060A" w:rsidRDefault="00E3060A">
            <w:pPr>
              <w:jc w:val="both"/>
              <w:rPr>
                <w:rFonts w:eastAsia="Calibri"/>
                <w:b/>
              </w:rPr>
            </w:pPr>
            <w:r>
              <w:rPr>
                <w:rFonts w:eastAsia="Calibri"/>
                <w:b/>
              </w:rPr>
              <w:t>Торговая процедура в форме аукциона «на повышение» в электронном виде</w:t>
            </w:r>
          </w:p>
        </w:tc>
      </w:tr>
      <w:tr w:rsidR="00E3060A" w14:paraId="5C8916D2" w14:textId="77777777" w:rsidTr="00E3060A">
        <w:tc>
          <w:tcPr>
            <w:tcW w:w="2982" w:type="dxa"/>
            <w:tcBorders>
              <w:top w:val="single" w:sz="4" w:space="0" w:color="auto"/>
              <w:left w:val="single" w:sz="4" w:space="0" w:color="auto"/>
              <w:bottom w:val="single" w:sz="4" w:space="0" w:color="auto"/>
              <w:right w:val="single" w:sz="4" w:space="0" w:color="auto"/>
            </w:tcBorders>
            <w:hideMark/>
          </w:tcPr>
          <w:p w14:paraId="7B4F1068" w14:textId="77777777" w:rsidR="00E3060A" w:rsidRDefault="00E3060A">
            <w:pPr>
              <w:rPr>
                <w:rFonts w:eastAsia="Calibri"/>
              </w:rPr>
            </w:pPr>
            <w:r>
              <w:rPr>
                <w:rFonts w:eastAsia="Calibri"/>
              </w:rPr>
              <w:t>Особенности проведения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233557E6" w14:textId="77777777" w:rsidR="00E3060A" w:rsidRDefault="00E3060A">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5079DE9B" w14:textId="77777777" w:rsidR="00E3060A" w:rsidRDefault="00E3060A">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6E5DC828" w14:textId="77777777" w:rsidR="00E3060A" w:rsidRDefault="00E3060A">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ED49D4C" w14:textId="77777777" w:rsidR="00E3060A" w:rsidRDefault="00E3060A">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5DA31C56" w14:textId="77777777" w:rsidR="00E3060A" w:rsidRDefault="00E3060A">
            <w:pPr>
              <w:jc w:val="both"/>
              <w:rPr>
                <w:rFonts w:eastAsia="Calibri"/>
              </w:rPr>
            </w:pPr>
            <w:r>
              <w:rPr>
                <w:rFonts w:eastAsia="Calibri"/>
              </w:rPr>
              <w:t xml:space="preserve">- прием Заявок на приобретение объектов (имущества); </w:t>
            </w:r>
          </w:p>
          <w:p w14:paraId="55830421" w14:textId="77777777" w:rsidR="00E3060A" w:rsidRDefault="00E3060A">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1E424D9E" w14:textId="77777777" w:rsidR="00E3060A" w:rsidRDefault="00E3060A">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70A861E4" w14:textId="77777777" w:rsidR="00E3060A" w:rsidRDefault="00E3060A">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06C04A36" w14:textId="77777777" w:rsidR="00E3060A" w:rsidRDefault="00E3060A">
            <w:pPr>
              <w:jc w:val="both"/>
              <w:rPr>
                <w:rFonts w:eastAsia="Calibri"/>
              </w:rPr>
            </w:pPr>
            <w:r>
              <w:rPr>
                <w:rFonts w:eastAsia="Calibri"/>
              </w:rPr>
              <w:t>- возврат обеспечения заявки на участие в Торговой процедуре проигравшим Претендентам;</w:t>
            </w:r>
          </w:p>
          <w:p w14:paraId="19EBC021" w14:textId="77777777" w:rsidR="00E3060A" w:rsidRDefault="00E3060A">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0436628C" w14:textId="77777777" w:rsidR="00E3060A" w:rsidRDefault="00E3060A">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356F3CF2" w14:textId="77777777" w:rsidR="00E3060A" w:rsidRDefault="00E3060A">
            <w:pPr>
              <w:jc w:val="both"/>
              <w:rPr>
                <w:rFonts w:eastAsia="Calibri"/>
              </w:rPr>
            </w:pPr>
            <w:r>
              <w:rPr>
                <w:rFonts w:eastAsia="Calibri"/>
              </w:rPr>
              <w:t>Аукцион «на повышение» признается несостоявшимся в следующих случаях:</w:t>
            </w:r>
          </w:p>
          <w:p w14:paraId="0781F093" w14:textId="77777777" w:rsidR="00E3060A" w:rsidRDefault="00E3060A">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1EF6F705" w14:textId="77777777" w:rsidR="00E3060A" w:rsidRDefault="00E3060A">
            <w:pPr>
              <w:jc w:val="both"/>
              <w:rPr>
                <w:rFonts w:eastAsia="Calibri"/>
              </w:rPr>
            </w:pPr>
            <w:r>
              <w:rPr>
                <w:rFonts w:eastAsia="Calibri"/>
              </w:rPr>
              <w:t>- принято решение о признании только одного Заявителя участником аукциона;</w:t>
            </w:r>
          </w:p>
          <w:p w14:paraId="036F3677" w14:textId="77777777" w:rsidR="00E3060A" w:rsidRDefault="00E3060A">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E3060A" w14:paraId="7314FA25" w14:textId="77777777" w:rsidTr="00E3060A">
        <w:trPr>
          <w:trHeight w:val="445"/>
        </w:trPr>
        <w:tc>
          <w:tcPr>
            <w:tcW w:w="2982" w:type="dxa"/>
            <w:tcBorders>
              <w:top w:val="single" w:sz="4" w:space="0" w:color="auto"/>
              <w:left w:val="single" w:sz="4" w:space="0" w:color="auto"/>
              <w:bottom w:val="single" w:sz="4" w:space="0" w:color="auto"/>
              <w:right w:val="single" w:sz="4" w:space="0" w:color="auto"/>
            </w:tcBorders>
            <w:hideMark/>
          </w:tcPr>
          <w:p w14:paraId="123D5AD9" w14:textId="77777777" w:rsidR="00E3060A" w:rsidRDefault="00E3060A">
            <w:pPr>
              <w:rPr>
                <w:rFonts w:eastAsia="Calibri"/>
              </w:rPr>
            </w:pPr>
            <w:r>
              <w:rPr>
                <w:rFonts w:eastAsia="Calibri"/>
              </w:rPr>
              <w:t>Срок опубликования извещения о проведении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56D2E12A" w14:textId="77777777" w:rsidR="00E3060A" w:rsidRDefault="00E3060A">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E3060A" w14:paraId="0F879F0D" w14:textId="77777777" w:rsidTr="00E3060A">
        <w:trPr>
          <w:trHeight w:val="92"/>
        </w:trPr>
        <w:tc>
          <w:tcPr>
            <w:tcW w:w="2982" w:type="dxa"/>
            <w:tcBorders>
              <w:top w:val="single" w:sz="4" w:space="0" w:color="auto"/>
              <w:left w:val="single" w:sz="4" w:space="0" w:color="auto"/>
              <w:bottom w:val="single" w:sz="4" w:space="0" w:color="auto"/>
              <w:right w:val="single" w:sz="4" w:space="0" w:color="auto"/>
            </w:tcBorders>
            <w:hideMark/>
          </w:tcPr>
          <w:p w14:paraId="06CD613E" w14:textId="77777777" w:rsidR="00E3060A" w:rsidRDefault="00E3060A">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10184E7C" w14:textId="77777777" w:rsidR="00E3060A" w:rsidRDefault="00E3060A">
            <w:pPr>
              <w:jc w:val="both"/>
              <w:rPr>
                <w:rFonts w:eastAsia="Calibri"/>
              </w:rPr>
            </w:pPr>
            <w:r>
              <w:rPr>
                <w:rFonts w:eastAsia="Calibri"/>
              </w:rPr>
              <w:t>Со дня, следующего за днем публикации извещения.</w:t>
            </w:r>
          </w:p>
        </w:tc>
      </w:tr>
      <w:tr w:rsidR="00E3060A" w14:paraId="1F3435A4" w14:textId="77777777" w:rsidTr="00E3060A">
        <w:tc>
          <w:tcPr>
            <w:tcW w:w="2982" w:type="dxa"/>
            <w:tcBorders>
              <w:top w:val="single" w:sz="4" w:space="0" w:color="auto"/>
              <w:left w:val="single" w:sz="4" w:space="0" w:color="auto"/>
              <w:bottom w:val="single" w:sz="4" w:space="0" w:color="auto"/>
              <w:right w:val="single" w:sz="4" w:space="0" w:color="auto"/>
            </w:tcBorders>
            <w:hideMark/>
          </w:tcPr>
          <w:p w14:paraId="60ED6B72" w14:textId="77777777" w:rsidR="00E3060A" w:rsidRDefault="00E3060A">
            <w:pPr>
              <w:rPr>
                <w:rFonts w:eastAsia="Calibri"/>
              </w:rPr>
            </w:pPr>
            <w:r>
              <w:rPr>
                <w:rFonts w:eastAsia="Calibri"/>
              </w:rPr>
              <w:t xml:space="preserve">Продолжительность приема Заявок на участие в торговой процедуре </w:t>
            </w:r>
          </w:p>
        </w:tc>
        <w:tc>
          <w:tcPr>
            <w:tcW w:w="6510" w:type="dxa"/>
            <w:tcBorders>
              <w:top w:val="single" w:sz="4" w:space="0" w:color="auto"/>
              <w:left w:val="single" w:sz="4" w:space="0" w:color="auto"/>
              <w:bottom w:val="single" w:sz="4" w:space="0" w:color="auto"/>
              <w:right w:val="single" w:sz="4" w:space="0" w:color="auto"/>
            </w:tcBorders>
            <w:hideMark/>
          </w:tcPr>
          <w:p w14:paraId="0F3FD753" w14:textId="77777777" w:rsidR="00E3060A" w:rsidRDefault="00E3060A">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E3060A" w14:paraId="6AB7FF52" w14:textId="77777777" w:rsidTr="00E3060A">
        <w:trPr>
          <w:trHeight w:val="557"/>
        </w:trPr>
        <w:tc>
          <w:tcPr>
            <w:tcW w:w="2982" w:type="dxa"/>
            <w:tcBorders>
              <w:top w:val="single" w:sz="4" w:space="0" w:color="auto"/>
              <w:left w:val="single" w:sz="4" w:space="0" w:color="auto"/>
              <w:bottom w:val="single" w:sz="4" w:space="0" w:color="auto"/>
              <w:right w:val="single" w:sz="4" w:space="0" w:color="auto"/>
            </w:tcBorders>
            <w:hideMark/>
          </w:tcPr>
          <w:p w14:paraId="30FA87AE" w14:textId="77777777" w:rsidR="00E3060A" w:rsidRDefault="00E3060A">
            <w:pPr>
              <w:widowControl w:val="0"/>
              <w:rPr>
                <w:rFonts w:eastAsia="Calibri"/>
              </w:rPr>
            </w:pPr>
            <w:r>
              <w:rPr>
                <w:rFonts w:eastAsia="Calibri"/>
              </w:rPr>
              <w:t>Перечень документов, прилагаемых к Заявке на участие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1633F368" w14:textId="77777777" w:rsidR="00E3060A" w:rsidRDefault="00E3060A">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620DA469" w14:textId="77777777" w:rsidR="00E3060A" w:rsidRDefault="00E3060A">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406942DC" w14:textId="77777777" w:rsidR="00E3060A" w:rsidRDefault="00E3060A">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2136CF49" w14:textId="77777777" w:rsidR="00E3060A" w:rsidRDefault="00E3060A">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4EBAE36F" w14:textId="77777777" w:rsidR="00E3060A" w:rsidRDefault="00E3060A">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2EE854CA" w14:textId="26864A12" w:rsidR="00E3060A" w:rsidRDefault="00E3060A">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72B3F0D6" w14:textId="77777777" w:rsidR="00E3060A" w:rsidRDefault="00E3060A">
            <w:pPr>
              <w:tabs>
                <w:tab w:val="left" w:pos="1134"/>
              </w:tabs>
              <w:suppressAutoHyphens/>
              <w:autoSpaceDE w:val="0"/>
              <w:autoSpaceDN w:val="0"/>
              <w:adjustRightInd w:val="0"/>
              <w:jc w:val="both"/>
              <w:outlineLvl w:val="1"/>
              <w:rPr>
                <w:rFonts w:eastAsiaTheme="minorEastAsia"/>
              </w:rPr>
            </w:pPr>
            <w:r>
              <w:t>- опись документов;</w:t>
            </w:r>
          </w:p>
          <w:p w14:paraId="7C2B47EF" w14:textId="77777777" w:rsidR="00E3060A" w:rsidRDefault="00E3060A">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2373A851" w14:textId="77777777" w:rsidR="00E3060A" w:rsidRDefault="00E3060A">
            <w:pPr>
              <w:tabs>
                <w:tab w:val="left" w:pos="1134"/>
              </w:tabs>
              <w:suppressAutoHyphens/>
              <w:autoSpaceDE w:val="0"/>
              <w:autoSpaceDN w:val="0"/>
              <w:adjustRightInd w:val="0"/>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70CF515" w14:textId="77777777" w:rsidR="00E3060A" w:rsidRDefault="00E3060A">
            <w:pPr>
              <w:tabs>
                <w:tab w:val="left" w:pos="1134"/>
              </w:tabs>
              <w:autoSpaceDE w:val="0"/>
              <w:autoSpaceDN w:val="0"/>
              <w:adjustRightInd w:val="0"/>
              <w:jc w:val="both"/>
              <w:rPr>
                <w:b/>
              </w:rPr>
            </w:pPr>
            <w:r>
              <w:rPr>
                <w:b/>
              </w:rPr>
              <w:t xml:space="preserve">1.1. Физические лица дополнительно представляют: </w:t>
            </w:r>
          </w:p>
          <w:p w14:paraId="3722EF4F" w14:textId="77777777" w:rsidR="00E3060A" w:rsidRDefault="00E3060A">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52438AE1" w14:textId="77777777" w:rsidR="00E3060A" w:rsidRDefault="00E3060A">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0433CA22" w14:textId="77777777" w:rsidR="00E3060A" w:rsidRDefault="00E3060A">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1DE3F82" w14:textId="77777777" w:rsidR="00E3060A" w:rsidRDefault="00E3060A">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5637512A" w14:textId="77777777" w:rsidR="00E3060A" w:rsidRDefault="00E3060A">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2331AA87" w14:textId="77777777" w:rsidR="00E3060A" w:rsidRDefault="00E3060A">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4367B098" w14:textId="77777777" w:rsidR="00E3060A" w:rsidRDefault="00E3060A">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7BEE8FDB" w14:textId="77777777" w:rsidR="00E3060A" w:rsidRDefault="00E3060A">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A11C032" w14:textId="77777777" w:rsidR="00E3060A" w:rsidRDefault="00E3060A">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6606E68C" w14:textId="77777777" w:rsidR="00E3060A" w:rsidRDefault="00E3060A">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1C78564" w14:textId="77777777" w:rsidR="00E3060A" w:rsidRDefault="00E3060A">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E5522D2" w14:textId="77777777" w:rsidR="00E3060A" w:rsidRDefault="00E3060A">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3325B5CC" w14:textId="77777777" w:rsidR="00E3060A" w:rsidRDefault="00E3060A">
            <w:pPr>
              <w:tabs>
                <w:tab w:val="left" w:pos="8100"/>
                <w:tab w:val="left" w:pos="9720"/>
              </w:tabs>
              <w:jc w:val="both"/>
              <w:rPr>
                <w:rFonts w:eastAsiaTheme="minorEastAsia"/>
                <w:b/>
              </w:rPr>
            </w:pPr>
            <w:r>
              <w:rPr>
                <w:b/>
              </w:rPr>
              <w:t>1.3. Юридические лица дополнительно представляют:</w:t>
            </w:r>
          </w:p>
          <w:p w14:paraId="48BC0EFA" w14:textId="77777777" w:rsidR="00E3060A" w:rsidRDefault="00E3060A">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1976BAD" w14:textId="77777777" w:rsidR="00E3060A" w:rsidRDefault="00E3060A">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590ACA66" w14:textId="77777777" w:rsidR="00E3060A" w:rsidRDefault="00E3060A">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0E03A351" w14:textId="77777777" w:rsidR="00E3060A" w:rsidRDefault="00E3060A">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3C9D225C" w14:textId="77777777" w:rsidR="00E3060A" w:rsidRDefault="00E3060A">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733BE548" w14:textId="77777777" w:rsidR="00E3060A" w:rsidRDefault="00E3060A">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BD7EE65" w14:textId="77777777" w:rsidR="00E3060A" w:rsidRDefault="00E3060A">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5E1809F" w14:textId="77777777" w:rsidR="00E3060A" w:rsidRDefault="00E3060A">
            <w:pPr>
              <w:tabs>
                <w:tab w:val="left" w:pos="8100"/>
                <w:tab w:val="left" w:pos="9720"/>
              </w:tabs>
              <w:jc w:val="both"/>
              <w:rPr>
                <w:bCs/>
              </w:rPr>
            </w:pPr>
            <w:r>
              <w:rPr>
                <w:bCs/>
              </w:rPr>
              <w:t>- оригиналы или надлежащим образом заверенные копии следующих документов:</w:t>
            </w:r>
          </w:p>
          <w:p w14:paraId="371004C4" w14:textId="77777777" w:rsidR="00E3060A" w:rsidRPr="00E3060A" w:rsidRDefault="00E3060A" w:rsidP="0081301A">
            <w:pPr>
              <w:pStyle w:val="a6"/>
              <w:numPr>
                <w:ilvl w:val="0"/>
                <w:numId w:val="5"/>
              </w:numPr>
              <w:tabs>
                <w:tab w:val="left" w:pos="8100"/>
                <w:tab w:val="left" w:pos="9720"/>
              </w:tabs>
              <w:spacing w:line="276" w:lineRule="auto"/>
              <w:ind w:left="454"/>
              <w:contextualSpacing/>
              <w:jc w:val="both"/>
              <w:rPr>
                <w:bCs/>
                <w:sz w:val="20"/>
                <w:szCs w:val="20"/>
              </w:rPr>
            </w:pPr>
            <w:r w:rsidRPr="00E3060A">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C93A519" w14:textId="77777777" w:rsidR="00E3060A" w:rsidRPr="00E3060A" w:rsidRDefault="00E3060A" w:rsidP="0081301A">
            <w:pPr>
              <w:pStyle w:val="a6"/>
              <w:numPr>
                <w:ilvl w:val="0"/>
                <w:numId w:val="5"/>
              </w:numPr>
              <w:tabs>
                <w:tab w:val="left" w:pos="8100"/>
                <w:tab w:val="left" w:pos="9720"/>
              </w:tabs>
              <w:spacing w:line="276" w:lineRule="auto"/>
              <w:ind w:left="454"/>
              <w:contextualSpacing/>
              <w:jc w:val="both"/>
              <w:rPr>
                <w:bCs/>
                <w:sz w:val="20"/>
                <w:szCs w:val="20"/>
              </w:rPr>
            </w:pPr>
            <w:r w:rsidRPr="00E3060A">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47319E60" w14:textId="77777777" w:rsidR="00E3060A" w:rsidRPr="00E3060A" w:rsidRDefault="00E3060A" w:rsidP="0081301A">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5595B119" w14:textId="77777777" w:rsidR="00E3060A" w:rsidRDefault="00E3060A">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E3060A" w14:paraId="717DE249" w14:textId="77777777" w:rsidTr="00E3060A">
        <w:trPr>
          <w:trHeight w:val="557"/>
        </w:trPr>
        <w:tc>
          <w:tcPr>
            <w:tcW w:w="2982" w:type="dxa"/>
            <w:tcBorders>
              <w:top w:val="single" w:sz="4" w:space="0" w:color="auto"/>
              <w:left w:val="single" w:sz="4" w:space="0" w:color="auto"/>
              <w:bottom w:val="single" w:sz="4" w:space="0" w:color="auto"/>
              <w:right w:val="single" w:sz="4" w:space="0" w:color="auto"/>
            </w:tcBorders>
            <w:hideMark/>
          </w:tcPr>
          <w:p w14:paraId="2FCAD491" w14:textId="77777777" w:rsidR="00E3060A" w:rsidRDefault="00E3060A">
            <w:pPr>
              <w:widowControl w:val="0"/>
              <w:rPr>
                <w:rFonts w:eastAsia="Calibri"/>
              </w:rPr>
            </w:pPr>
            <w:r>
              <w:t>Требования к Новому кредитору</w:t>
            </w:r>
          </w:p>
        </w:tc>
        <w:tc>
          <w:tcPr>
            <w:tcW w:w="6510" w:type="dxa"/>
            <w:tcBorders>
              <w:top w:val="single" w:sz="4" w:space="0" w:color="auto"/>
              <w:left w:val="single" w:sz="4" w:space="0" w:color="auto"/>
              <w:bottom w:val="single" w:sz="4" w:space="0" w:color="auto"/>
              <w:right w:val="single" w:sz="4" w:space="0" w:color="auto"/>
            </w:tcBorders>
            <w:hideMark/>
          </w:tcPr>
          <w:p w14:paraId="1349881C" w14:textId="77777777" w:rsidR="00E3060A" w:rsidRDefault="00E3060A">
            <w:pPr>
              <w:tabs>
                <w:tab w:val="left" w:pos="8100"/>
                <w:tab w:val="left" w:pos="9720"/>
              </w:tabs>
              <w:jc w:val="both"/>
              <w:rPr>
                <w:b/>
              </w:rPr>
            </w:pPr>
            <w:r>
              <w:rPr>
                <w:b/>
              </w:rPr>
              <w:t xml:space="preserve">Общие требования: </w:t>
            </w:r>
          </w:p>
          <w:p w14:paraId="06F74DF3" w14:textId="77777777" w:rsidR="00E3060A" w:rsidRDefault="00E3060A">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58762A75" w14:textId="77777777" w:rsidR="00E3060A" w:rsidRDefault="00E3060A">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4847B9C6" w14:textId="77777777" w:rsidR="00E3060A" w:rsidRDefault="00E3060A">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02AEB0A8" w14:textId="77777777" w:rsidR="00E3060A" w:rsidRDefault="00E3060A">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02BBDAB4" w14:textId="77777777" w:rsidR="00E3060A" w:rsidRDefault="00E3060A">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7BC1CB4F" w14:textId="77777777" w:rsidR="00E3060A" w:rsidRDefault="00E3060A">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54A19512" w14:textId="77777777" w:rsidR="00E3060A" w:rsidRPr="00E3060A" w:rsidRDefault="00E3060A" w:rsidP="0081301A">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55E0C428" w14:textId="77777777" w:rsidR="00E3060A" w:rsidRPr="00E3060A" w:rsidRDefault="00E3060A" w:rsidP="0081301A">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отсутствие возбужденных исполнительных производств;</w:t>
            </w:r>
          </w:p>
          <w:p w14:paraId="2AD20C99" w14:textId="77777777" w:rsidR="00E3060A" w:rsidRPr="00E3060A" w:rsidRDefault="00E3060A" w:rsidP="0081301A">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отсутствие по месту регистрации Нового кредитора исков о взыскании, заявлений имущественного характера;</w:t>
            </w:r>
          </w:p>
          <w:p w14:paraId="573A09CB" w14:textId="77777777" w:rsidR="00E3060A" w:rsidRPr="00E3060A" w:rsidRDefault="00E3060A" w:rsidP="0081301A">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отсутствие просроченной задолженности по кредитам;</w:t>
            </w:r>
          </w:p>
          <w:p w14:paraId="6896A422" w14:textId="77777777" w:rsidR="00E3060A" w:rsidRPr="00E3060A" w:rsidRDefault="00E3060A" w:rsidP="0081301A">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 xml:space="preserve">отсутствие иных </w:t>
            </w:r>
            <w:proofErr w:type="spellStart"/>
            <w:r w:rsidRPr="00E3060A">
              <w:rPr>
                <w:bCs/>
                <w:sz w:val="20"/>
                <w:szCs w:val="20"/>
              </w:rPr>
              <w:t>правопритязаний</w:t>
            </w:r>
            <w:proofErr w:type="spellEnd"/>
            <w:r w:rsidRPr="00E3060A">
              <w:rPr>
                <w:bCs/>
                <w:sz w:val="20"/>
                <w:szCs w:val="20"/>
              </w:rPr>
              <w:t xml:space="preserve"> третьих лиц.</w:t>
            </w:r>
          </w:p>
          <w:p w14:paraId="7623A210" w14:textId="77777777" w:rsidR="00E3060A" w:rsidRDefault="00E3060A">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500D275D" w14:textId="77777777" w:rsidR="00E3060A" w:rsidRDefault="00E3060A">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23ABF5D3" w14:textId="77777777" w:rsidR="00E3060A" w:rsidRDefault="00E3060A">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17026DBB" w14:textId="77777777" w:rsidR="00E3060A" w:rsidRDefault="00E3060A">
            <w:pPr>
              <w:tabs>
                <w:tab w:val="left" w:pos="8100"/>
                <w:tab w:val="left" w:pos="9720"/>
              </w:tabs>
              <w:jc w:val="both"/>
              <w:rPr>
                <w:bCs/>
              </w:rPr>
            </w:pPr>
            <w:r>
              <w:rPr>
                <w:bCs/>
              </w:rPr>
              <w:t>- оплата не должна быть произведена за счет кредитных средств банка.</w:t>
            </w:r>
          </w:p>
          <w:p w14:paraId="53385CC0" w14:textId="77777777" w:rsidR="00E3060A" w:rsidRDefault="00E3060A">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344B05F8" w14:textId="77777777" w:rsidR="00E3060A" w:rsidRDefault="00E3060A">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3D30DB3A" w14:textId="77777777" w:rsidR="00E3060A" w:rsidRDefault="00E3060A">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6571BA3" w14:textId="77777777" w:rsidR="00E3060A" w:rsidRDefault="00E3060A">
            <w:pPr>
              <w:tabs>
                <w:tab w:val="left" w:pos="8100"/>
                <w:tab w:val="left" w:pos="9720"/>
              </w:tabs>
              <w:jc w:val="both"/>
            </w:pPr>
            <w:r>
              <w:rPr>
                <w:b/>
              </w:rPr>
              <w:t>2.9. В отношении Нового кредитора - юридического лица</w:t>
            </w:r>
            <w:r>
              <w:t>:</w:t>
            </w:r>
          </w:p>
          <w:p w14:paraId="26CBEE58" w14:textId="77777777" w:rsidR="00E3060A" w:rsidRDefault="00E3060A">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78836D4C" w14:textId="77777777" w:rsidR="00E3060A" w:rsidRDefault="00E3060A">
            <w:pPr>
              <w:tabs>
                <w:tab w:val="left" w:pos="8100"/>
                <w:tab w:val="left" w:pos="9720"/>
              </w:tabs>
              <w:jc w:val="both"/>
            </w:pPr>
            <w:r>
              <w:t xml:space="preserve">2.9.2. По состоянию на последнюю отчетную дату, предшествующую дате заключения Договора: </w:t>
            </w:r>
          </w:p>
          <w:p w14:paraId="6504F9D0" w14:textId="77777777" w:rsidR="00E3060A" w:rsidRDefault="00E3060A">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0AF08E7C" w14:textId="77777777" w:rsidR="00E3060A" w:rsidRDefault="00E3060A">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4996F06E" w14:textId="77777777" w:rsidR="00E3060A" w:rsidRDefault="00E3060A">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3E928D71" w14:textId="77777777" w:rsidR="00E3060A" w:rsidRDefault="00E3060A">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7490DF5" w14:textId="77777777" w:rsidR="00E3060A" w:rsidRDefault="00E3060A">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68A924AD" w14:textId="77777777" w:rsidR="00E3060A" w:rsidRDefault="00E3060A">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3BF0F549" w14:textId="77777777" w:rsidR="00E3060A" w:rsidRDefault="00E3060A">
            <w:pPr>
              <w:tabs>
                <w:tab w:val="left" w:pos="175"/>
                <w:tab w:val="left" w:pos="767"/>
                <w:tab w:val="left" w:pos="8100"/>
                <w:tab w:val="left" w:pos="9720"/>
              </w:tabs>
              <w:jc w:val="both"/>
            </w:pPr>
            <w:r>
              <w:t>- отсутствия просроченной задолженности по кредитным обязательствам.</w:t>
            </w:r>
          </w:p>
          <w:p w14:paraId="25FED5B3" w14:textId="77777777" w:rsidR="00E3060A" w:rsidRDefault="00E3060A">
            <w:pPr>
              <w:tabs>
                <w:tab w:val="left" w:pos="8100"/>
                <w:tab w:val="left" w:pos="9720"/>
              </w:tabs>
              <w:jc w:val="both"/>
            </w:pPr>
            <w:r>
              <w:rPr>
                <w:b/>
              </w:rPr>
              <w:t>2.10. В отношении Нового кредитора - физического лица/ индивидуального предпринимателя:</w:t>
            </w:r>
          </w:p>
          <w:p w14:paraId="3C59083F" w14:textId="77777777" w:rsidR="00E3060A" w:rsidRDefault="00E3060A">
            <w:pPr>
              <w:tabs>
                <w:tab w:val="left" w:pos="8100"/>
                <w:tab w:val="left" w:pos="9720"/>
              </w:tabs>
              <w:jc w:val="both"/>
            </w:pPr>
            <w:r>
              <w:t>2.10.1. Подтверждение в отношении Нового кредитора отсутствия признаков банкротства, в том числе:</w:t>
            </w:r>
          </w:p>
          <w:p w14:paraId="3E9E3905" w14:textId="77777777" w:rsidR="00E3060A" w:rsidRDefault="00E3060A">
            <w:pPr>
              <w:tabs>
                <w:tab w:val="left" w:pos="8100"/>
                <w:tab w:val="left" w:pos="9720"/>
              </w:tabs>
              <w:jc w:val="both"/>
            </w:pPr>
            <w:r>
              <w:t>- отсутствия возбужденных исполнительных производств на сумму более 100 000 (Сто тысяч) рублей;</w:t>
            </w:r>
          </w:p>
          <w:p w14:paraId="56FE5061" w14:textId="77777777" w:rsidR="00E3060A" w:rsidRDefault="00E3060A">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755E71BA" w14:textId="77777777" w:rsidR="00E3060A" w:rsidRDefault="00E3060A">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433DDA44" w14:textId="77777777" w:rsidR="00E3060A" w:rsidRDefault="00E3060A">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36EB398C" w14:textId="77777777" w:rsidR="00E3060A" w:rsidRDefault="00E3060A">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790B7756" w14:textId="77777777" w:rsidR="00E3060A" w:rsidRDefault="00E3060A">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7EE2962" w14:textId="77777777" w:rsidR="00E3060A" w:rsidRDefault="00E3060A">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6B67A48" w14:textId="77777777" w:rsidR="00E3060A" w:rsidRDefault="00E3060A">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E3060A" w14:paraId="64778904" w14:textId="77777777" w:rsidTr="00E3060A">
        <w:trPr>
          <w:trHeight w:val="557"/>
        </w:trPr>
        <w:tc>
          <w:tcPr>
            <w:tcW w:w="2982" w:type="dxa"/>
            <w:tcBorders>
              <w:top w:val="single" w:sz="4" w:space="0" w:color="auto"/>
              <w:left w:val="single" w:sz="4" w:space="0" w:color="auto"/>
              <w:bottom w:val="single" w:sz="4" w:space="0" w:color="auto"/>
              <w:right w:val="single" w:sz="4" w:space="0" w:color="auto"/>
            </w:tcBorders>
            <w:hideMark/>
          </w:tcPr>
          <w:p w14:paraId="055F0B53" w14:textId="77777777" w:rsidR="00E3060A" w:rsidRDefault="00E3060A">
            <w:pPr>
              <w:widowControl w:val="0"/>
              <w:rPr>
                <w:rFonts w:eastAsia="Calibri"/>
              </w:rPr>
            </w:pPr>
            <w:r>
              <w:rPr>
                <w:rFonts w:eastAsia="Calibri"/>
              </w:rPr>
              <w:t>Условия доступа Заявителя к участию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2A422BEC" w14:textId="77777777" w:rsidR="00E3060A" w:rsidRDefault="00E3060A">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479BBC20" w14:textId="77777777" w:rsidR="00E3060A" w:rsidRDefault="00E3060A">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3C8CE4BA" w14:textId="77777777" w:rsidR="00E3060A" w:rsidRDefault="00E3060A">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042F89E4" w14:textId="77777777" w:rsidR="00E3060A" w:rsidRDefault="00E3060A">
            <w:pPr>
              <w:widowControl w:val="0"/>
              <w:ind w:firstLine="33"/>
              <w:jc w:val="both"/>
              <w:rPr>
                <w:rFonts w:eastAsia="Calibri"/>
              </w:rPr>
            </w:pPr>
            <w:r>
              <w:rPr>
                <w:rFonts w:eastAsia="Calibri"/>
              </w:rPr>
              <w:t>-  не представлены документы, перечисленные в извещении;</w:t>
            </w:r>
          </w:p>
          <w:p w14:paraId="2EC9ACE5" w14:textId="77777777" w:rsidR="00E3060A" w:rsidRDefault="00E3060A">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09FAA875" w14:textId="77777777" w:rsidR="00E3060A" w:rsidRDefault="00E3060A">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701D4D1E" w14:textId="77777777" w:rsidR="00E3060A" w:rsidRDefault="00E3060A">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2F247614" w14:textId="77777777" w:rsidR="00E3060A" w:rsidRDefault="00E3060A">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24D2B29C" w14:textId="77777777" w:rsidR="00E3060A" w:rsidRDefault="00E3060A">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21AE03D" w14:textId="77777777" w:rsidR="00E3060A" w:rsidRDefault="00E3060A">
            <w:pPr>
              <w:widowControl w:val="0"/>
              <w:ind w:firstLine="33"/>
              <w:jc w:val="both"/>
              <w:rPr>
                <w:rFonts w:eastAsia="Calibri"/>
              </w:rPr>
            </w:pPr>
            <w:r>
              <w:rPr>
                <w:rFonts w:eastAsia="Calibri"/>
              </w:rPr>
              <w:t>- 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C196EA3" w14:textId="77777777" w:rsidR="00E3060A" w:rsidRDefault="00E3060A">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6B61AF7" w14:textId="77777777" w:rsidR="00E3060A" w:rsidRDefault="00E3060A">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63352E99" w14:textId="77777777" w:rsidR="00E3060A" w:rsidRDefault="00E3060A">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0A499E9E" w14:textId="77777777" w:rsidR="00E3060A" w:rsidRDefault="00E3060A">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556D09D" w14:textId="77777777" w:rsidR="00E3060A" w:rsidRDefault="00E3060A">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E8E003C" w14:textId="77777777" w:rsidR="00E3060A" w:rsidRDefault="00E3060A">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18ABD88A" w14:textId="77777777" w:rsidR="00E3060A" w:rsidRDefault="00E3060A">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139ED856" w14:textId="77777777" w:rsidR="00E3060A" w:rsidRDefault="00E3060A">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FDE298B" w14:textId="77777777" w:rsidR="00E3060A" w:rsidRDefault="00E3060A">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18EC8C38" w14:textId="77777777" w:rsidR="00E3060A" w:rsidRDefault="00E3060A">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5CC0833" w14:textId="77777777" w:rsidR="00E3060A" w:rsidRDefault="00E3060A">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3F636DC9" w14:textId="77777777" w:rsidR="00E3060A" w:rsidRDefault="00E3060A">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E3060A" w14:paraId="7CFEA1C3" w14:textId="77777777" w:rsidTr="00E3060A">
        <w:trPr>
          <w:trHeight w:val="1433"/>
        </w:trPr>
        <w:tc>
          <w:tcPr>
            <w:tcW w:w="2982" w:type="dxa"/>
            <w:tcBorders>
              <w:top w:val="single" w:sz="4" w:space="0" w:color="auto"/>
              <w:left w:val="single" w:sz="4" w:space="0" w:color="auto"/>
              <w:bottom w:val="single" w:sz="4" w:space="0" w:color="auto"/>
              <w:right w:val="single" w:sz="4" w:space="0" w:color="auto"/>
            </w:tcBorders>
            <w:hideMark/>
          </w:tcPr>
          <w:p w14:paraId="58D045DA" w14:textId="77777777" w:rsidR="00E3060A" w:rsidRDefault="00E3060A">
            <w:pPr>
              <w:widowControl w:val="0"/>
              <w:rPr>
                <w:rFonts w:eastAsia="Calibri"/>
                <w:b/>
              </w:rPr>
            </w:pPr>
            <w:r>
              <w:rPr>
                <w:rFonts w:eastAsia="Calibri"/>
              </w:rPr>
              <w:t xml:space="preserve">Критерии определения Победителя торговой процедуры в форме аукциона </w:t>
            </w:r>
            <w:r>
              <w:rPr>
                <w:rFonts w:eastAsia="Calibri"/>
                <w:b/>
              </w:rPr>
              <w:t>«на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914AF82" w14:textId="77777777" w:rsidR="00E3060A" w:rsidRDefault="00E3060A">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399DFCF9" w14:textId="77777777" w:rsidR="00E3060A" w:rsidRDefault="00E3060A">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E3060A" w14:paraId="5944ACBD" w14:textId="77777777" w:rsidTr="00E3060A">
        <w:trPr>
          <w:trHeight w:val="1052"/>
        </w:trPr>
        <w:tc>
          <w:tcPr>
            <w:tcW w:w="2982" w:type="dxa"/>
            <w:tcBorders>
              <w:top w:val="single" w:sz="4" w:space="0" w:color="auto"/>
              <w:left w:val="single" w:sz="4" w:space="0" w:color="auto"/>
              <w:bottom w:val="single" w:sz="4" w:space="0" w:color="auto"/>
              <w:right w:val="single" w:sz="4" w:space="0" w:color="auto"/>
            </w:tcBorders>
            <w:hideMark/>
          </w:tcPr>
          <w:p w14:paraId="4F90B6B7" w14:textId="77777777" w:rsidR="00E3060A" w:rsidRDefault="00E3060A">
            <w:pPr>
              <w:widowControl w:val="0"/>
              <w:rPr>
                <w:rFonts w:eastAsia="Calibri"/>
              </w:rPr>
            </w:pPr>
            <w:r>
              <w:rPr>
                <w:rFonts w:eastAsia="Calibri"/>
              </w:rPr>
              <w:t>Порядок заключения договора реализации прав (требований)</w:t>
            </w:r>
          </w:p>
        </w:tc>
        <w:tc>
          <w:tcPr>
            <w:tcW w:w="6510" w:type="dxa"/>
            <w:tcBorders>
              <w:top w:val="single" w:sz="4" w:space="0" w:color="auto"/>
              <w:left w:val="single" w:sz="4" w:space="0" w:color="auto"/>
              <w:bottom w:val="single" w:sz="4" w:space="0" w:color="auto"/>
              <w:right w:val="single" w:sz="4" w:space="0" w:color="auto"/>
            </w:tcBorders>
            <w:hideMark/>
          </w:tcPr>
          <w:p w14:paraId="7DBE7480" w14:textId="39B2FC65" w:rsidR="00E3060A" w:rsidRDefault="00E3060A">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w:t>
            </w:r>
            <w:r w:rsidR="00740791" w:rsidRPr="00740791">
              <w:rPr>
                <w:rFonts w:eastAsia="Calibri"/>
              </w:rPr>
              <w:t>не позднее 2 рабочих дней с даты размещения протокола о признании результатов торговой процедуры</w:t>
            </w:r>
            <w:r>
              <w:rPr>
                <w:rFonts w:eastAsia="Calibri"/>
              </w:rPr>
              <w:t>. Договор реализации прав (требований) заключается в бумажном виде в те же сроки.</w:t>
            </w:r>
            <w:bookmarkEnd w:id="12"/>
          </w:p>
          <w:p w14:paraId="0E885388" w14:textId="77777777" w:rsidR="00E3060A" w:rsidRDefault="00E3060A">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1EF933CB" w14:textId="77777777" w:rsidR="00E3060A" w:rsidRDefault="00E3060A">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5396ABEA" w14:textId="05859416" w:rsidR="00B44510" w:rsidRPr="00B44510" w:rsidRDefault="00B44510" w:rsidP="00B44510">
      <w:pPr>
        <w:jc w:val="center"/>
        <w:rPr>
          <w:rFonts w:eastAsia="Calibri"/>
          <w:sz w:val="24"/>
          <w:lang w:eastAsia="en-US"/>
        </w:rPr>
      </w:pP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5667EA42" w14:textId="77777777" w:rsidR="00E3060A" w:rsidRDefault="00E3060A" w:rsidP="00720C3C">
      <w:pPr>
        <w:ind w:left="2124" w:right="-57" w:firstLine="708"/>
        <w:jc w:val="right"/>
        <w:rPr>
          <w:sz w:val="24"/>
          <w:szCs w:val="24"/>
        </w:rPr>
      </w:pPr>
    </w:p>
    <w:p w14:paraId="7814C3C0" w14:textId="77777777" w:rsidR="00E3060A" w:rsidRDefault="00E3060A" w:rsidP="00720C3C">
      <w:pPr>
        <w:ind w:left="2124" w:right="-57" w:firstLine="708"/>
        <w:jc w:val="right"/>
        <w:rPr>
          <w:sz w:val="24"/>
          <w:szCs w:val="24"/>
        </w:rPr>
      </w:pPr>
    </w:p>
    <w:p w14:paraId="43B82738" w14:textId="77777777" w:rsidR="00E3060A" w:rsidRDefault="00E3060A" w:rsidP="00720C3C">
      <w:pPr>
        <w:ind w:left="2124" w:right="-57" w:firstLine="708"/>
        <w:jc w:val="right"/>
        <w:rPr>
          <w:sz w:val="24"/>
          <w:szCs w:val="24"/>
        </w:rPr>
      </w:pPr>
    </w:p>
    <w:p w14:paraId="51332F53" w14:textId="77777777" w:rsidR="00E3060A" w:rsidRDefault="00E3060A" w:rsidP="00720C3C">
      <w:pPr>
        <w:ind w:left="2124" w:right="-57" w:firstLine="708"/>
        <w:jc w:val="right"/>
        <w:rPr>
          <w:sz w:val="24"/>
          <w:szCs w:val="24"/>
        </w:rPr>
      </w:pPr>
    </w:p>
    <w:p w14:paraId="51A51C3A" w14:textId="77777777" w:rsidR="00E3060A" w:rsidRDefault="00E3060A" w:rsidP="00720C3C">
      <w:pPr>
        <w:ind w:left="2124" w:right="-57" w:firstLine="708"/>
        <w:jc w:val="right"/>
        <w:rPr>
          <w:sz w:val="24"/>
          <w:szCs w:val="24"/>
        </w:rPr>
      </w:pPr>
    </w:p>
    <w:p w14:paraId="0A5D6858" w14:textId="77777777" w:rsidR="00E3060A" w:rsidRDefault="00E3060A" w:rsidP="00720C3C">
      <w:pPr>
        <w:ind w:left="2124" w:right="-57" w:firstLine="708"/>
        <w:jc w:val="right"/>
        <w:rPr>
          <w:sz w:val="24"/>
          <w:szCs w:val="24"/>
        </w:rPr>
      </w:pPr>
    </w:p>
    <w:p w14:paraId="7CA96255" w14:textId="77777777" w:rsidR="00E3060A" w:rsidRDefault="00E3060A" w:rsidP="00720C3C">
      <w:pPr>
        <w:ind w:left="2124" w:right="-57" w:firstLine="708"/>
        <w:jc w:val="right"/>
        <w:rPr>
          <w:sz w:val="24"/>
          <w:szCs w:val="24"/>
        </w:rPr>
      </w:pPr>
    </w:p>
    <w:p w14:paraId="5114BADB" w14:textId="77777777" w:rsidR="00E3060A" w:rsidRDefault="00E3060A" w:rsidP="00720C3C">
      <w:pPr>
        <w:ind w:left="2124" w:right="-57" w:firstLine="708"/>
        <w:jc w:val="right"/>
        <w:rPr>
          <w:sz w:val="24"/>
          <w:szCs w:val="24"/>
        </w:rPr>
      </w:pPr>
    </w:p>
    <w:p w14:paraId="0098CD9E" w14:textId="77777777" w:rsidR="00E3060A" w:rsidRDefault="00E3060A" w:rsidP="00720C3C">
      <w:pPr>
        <w:ind w:left="2124" w:right="-57" w:firstLine="708"/>
        <w:jc w:val="right"/>
        <w:rPr>
          <w:sz w:val="24"/>
          <w:szCs w:val="24"/>
        </w:rPr>
      </w:pPr>
    </w:p>
    <w:p w14:paraId="15C6B145" w14:textId="77777777" w:rsidR="00E3060A" w:rsidRDefault="00E3060A" w:rsidP="00720C3C">
      <w:pPr>
        <w:ind w:left="2124" w:right="-57" w:firstLine="708"/>
        <w:jc w:val="right"/>
        <w:rPr>
          <w:sz w:val="24"/>
          <w:szCs w:val="24"/>
        </w:rPr>
      </w:pPr>
    </w:p>
    <w:p w14:paraId="38048A95" w14:textId="77777777" w:rsidR="00E3060A" w:rsidRDefault="00E3060A" w:rsidP="00720C3C">
      <w:pPr>
        <w:ind w:left="2124" w:right="-57" w:firstLine="708"/>
        <w:jc w:val="right"/>
        <w:rPr>
          <w:sz w:val="24"/>
          <w:szCs w:val="24"/>
        </w:rPr>
      </w:pPr>
    </w:p>
    <w:p w14:paraId="79D66447" w14:textId="77777777" w:rsidR="00E3060A" w:rsidRDefault="00E3060A" w:rsidP="00720C3C">
      <w:pPr>
        <w:ind w:left="2124" w:right="-57" w:firstLine="708"/>
        <w:jc w:val="right"/>
        <w:rPr>
          <w:sz w:val="24"/>
          <w:szCs w:val="24"/>
        </w:rPr>
      </w:pPr>
    </w:p>
    <w:p w14:paraId="00AE1433" w14:textId="77777777" w:rsidR="00E3060A" w:rsidRDefault="00E3060A" w:rsidP="00720C3C">
      <w:pPr>
        <w:ind w:left="2124" w:right="-57" w:firstLine="708"/>
        <w:jc w:val="right"/>
        <w:rPr>
          <w:sz w:val="24"/>
          <w:szCs w:val="24"/>
        </w:rPr>
      </w:pPr>
    </w:p>
    <w:p w14:paraId="403978F0" w14:textId="77777777" w:rsidR="00E3060A" w:rsidRDefault="00E3060A" w:rsidP="0081301A">
      <w:pPr>
        <w:ind w:right="-57"/>
        <w:rPr>
          <w:sz w:val="24"/>
          <w:szCs w:val="24"/>
        </w:rPr>
      </w:pPr>
    </w:p>
    <w:p w14:paraId="148286B0" w14:textId="77777777" w:rsidR="0081301A" w:rsidRDefault="0081301A" w:rsidP="0081301A">
      <w:pPr>
        <w:ind w:right="-57"/>
        <w:rPr>
          <w:sz w:val="24"/>
          <w:szCs w:val="24"/>
        </w:rPr>
      </w:pPr>
    </w:p>
    <w:p w14:paraId="45DACE1D" w14:textId="77777777" w:rsidR="00720C3C" w:rsidRDefault="00720C3C" w:rsidP="00720C3C">
      <w:pPr>
        <w:widowControl w:val="0"/>
        <w:ind w:left="-284"/>
        <w:rPr>
          <w:sz w:val="24"/>
          <w:szCs w:val="24"/>
        </w:rPr>
      </w:pPr>
    </w:p>
    <w:p w14:paraId="147BC022" w14:textId="77777777" w:rsidR="008D006F" w:rsidRDefault="008D006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0D725F42" w14:textId="77777777" w:rsidR="000443F6" w:rsidRDefault="000443F6" w:rsidP="000443F6">
      <w:pPr>
        <w:widowControl w:val="0"/>
        <w:jc w:val="right"/>
        <w:rPr>
          <w:sz w:val="24"/>
          <w:szCs w:val="24"/>
        </w:rPr>
      </w:pPr>
    </w:p>
    <w:p w14:paraId="2599EFF0" w14:textId="77777777" w:rsidR="00E3060A" w:rsidRDefault="00E3060A" w:rsidP="00E3060A">
      <w:pPr>
        <w:jc w:val="both"/>
        <w:rPr>
          <w:color w:val="000000"/>
        </w:rPr>
      </w:pPr>
      <w:r>
        <w:rPr>
          <w:color w:val="000000"/>
        </w:rPr>
        <w:t>- Договор № 100411/0074 об открытии кредитной линии от 100411/0074 в редакции дополнительных соглашений к нему;</w:t>
      </w:r>
    </w:p>
    <w:p w14:paraId="1D9695CB" w14:textId="77777777" w:rsidR="00E3060A" w:rsidRDefault="00E3060A" w:rsidP="00E3060A">
      <w:pPr>
        <w:tabs>
          <w:tab w:val="left" w:pos="284"/>
        </w:tabs>
        <w:contextualSpacing/>
        <w:rPr>
          <w:color w:val="000000" w:themeColor="text1"/>
        </w:rPr>
      </w:pPr>
      <w:r>
        <w:rPr>
          <w:b/>
        </w:rPr>
        <w:tab/>
      </w:r>
      <w:r>
        <w:rPr>
          <w:b/>
        </w:rPr>
        <w:tab/>
      </w:r>
      <w:r>
        <w:rPr>
          <w:b/>
        </w:rPr>
        <w:tab/>
      </w:r>
      <w:r>
        <w:rPr>
          <w:b/>
        </w:rPr>
        <w:tab/>
      </w:r>
      <w:r>
        <w:rPr>
          <w:b/>
        </w:rPr>
        <w:tab/>
      </w:r>
      <w:r>
        <w:rPr>
          <w:b/>
        </w:rPr>
        <w:tab/>
      </w:r>
      <w:r>
        <w:rPr>
          <w:b/>
        </w:rPr>
        <w:tab/>
      </w:r>
      <w:r>
        <w:rPr>
          <w:b/>
        </w:rPr>
        <w:tab/>
      </w:r>
      <w:r>
        <w:rPr>
          <w:b/>
        </w:rPr>
        <w:tab/>
      </w:r>
      <w:r>
        <w:rPr>
          <w:b/>
        </w:rPr>
        <w:tab/>
      </w:r>
    </w:p>
    <w:p w14:paraId="34FD4ACA" w14:textId="77777777" w:rsidR="00E3060A" w:rsidRDefault="00E3060A" w:rsidP="00E3060A">
      <w:pPr>
        <w:tabs>
          <w:tab w:val="left" w:pos="142"/>
        </w:tabs>
        <w:jc w:val="both"/>
        <w:rPr>
          <w:b/>
        </w:rPr>
      </w:pPr>
      <w:r>
        <w:rPr>
          <w:b/>
        </w:rPr>
        <w:t>Финансовое и имущественное положение Должников.</w:t>
      </w:r>
    </w:p>
    <w:p w14:paraId="742AEA24" w14:textId="77777777" w:rsidR="00E3060A" w:rsidRDefault="00E3060A" w:rsidP="00E3060A">
      <w:pPr>
        <w:tabs>
          <w:tab w:val="left" w:pos="142"/>
        </w:tabs>
        <w:jc w:val="both"/>
        <w:rPr>
          <w:b/>
          <w:bCs/>
          <w:iCs/>
          <w:lang w:eastAsia="x-none"/>
        </w:rPr>
      </w:pPr>
      <w:r>
        <w:rPr>
          <w:b/>
          <w:bCs/>
          <w:iCs/>
          <w:lang w:eastAsia="x-none"/>
        </w:rPr>
        <w:t>Мероприятия в рамках исполнительного производства:</w:t>
      </w:r>
    </w:p>
    <w:p w14:paraId="2D656136" w14:textId="77777777" w:rsidR="00E3060A" w:rsidRDefault="00E3060A" w:rsidP="00E3060A">
      <w:pPr>
        <w:tabs>
          <w:tab w:val="left" w:pos="142"/>
        </w:tabs>
        <w:jc w:val="both"/>
        <w:rPr>
          <w:b/>
        </w:rPr>
      </w:pPr>
      <w:r>
        <w:rPr>
          <w:b/>
        </w:rPr>
        <w:t xml:space="preserve">В отношении ИП ГКФХ </w:t>
      </w:r>
      <w:proofErr w:type="spellStart"/>
      <w:r>
        <w:rPr>
          <w:b/>
        </w:rPr>
        <w:t>Абдулаев</w:t>
      </w:r>
      <w:proofErr w:type="spellEnd"/>
      <w:r>
        <w:rPr>
          <w:b/>
        </w:rPr>
        <w:t xml:space="preserve"> </w:t>
      </w:r>
      <w:proofErr w:type="spellStart"/>
      <w:r>
        <w:rPr>
          <w:b/>
        </w:rPr>
        <w:t>Абдулкарим</w:t>
      </w:r>
      <w:proofErr w:type="spellEnd"/>
      <w:r>
        <w:rPr>
          <w:b/>
        </w:rPr>
        <w:t xml:space="preserve"> </w:t>
      </w:r>
      <w:proofErr w:type="spellStart"/>
      <w:r>
        <w:rPr>
          <w:b/>
        </w:rPr>
        <w:t>Алиевич</w:t>
      </w:r>
      <w:proofErr w:type="spellEnd"/>
      <w:r>
        <w:rPr>
          <w:b/>
        </w:rPr>
        <w:t xml:space="preserve"> с 18.03.2020 возбуждено исполнительное производство, в рамках которого имущество и денежные средства, принадлежащее Должнику на праве собственности не обнаружено</w:t>
      </w:r>
    </w:p>
    <w:p w14:paraId="254F3175" w14:textId="77777777" w:rsidR="00E3060A" w:rsidRDefault="00E3060A" w:rsidP="00E3060A">
      <w:pPr>
        <w:suppressAutoHyphens/>
        <w:ind w:firstLine="709"/>
        <w:jc w:val="both"/>
      </w:pPr>
      <w:r>
        <w:t>18.12.2019 Советским районным судом было вынесено решение об удовлетворении исковых требовании АО «Россельхозбанк» к должникам, о взыскании задолженности по кредиту, принятие обеспечительных мер и взыскание на предмет залога.</w:t>
      </w:r>
    </w:p>
    <w:p w14:paraId="6A290B00" w14:textId="77777777" w:rsidR="00E3060A" w:rsidRDefault="00E3060A" w:rsidP="00E3060A">
      <w:pPr>
        <w:suppressAutoHyphens/>
        <w:ind w:firstLine="709"/>
        <w:jc w:val="both"/>
      </w:pPr>
      <w:r>
        <w:t>04.03.2020 Банком получены исполнительные листы.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111"/>
        <w:gridCol w:w="2806"/>
      </w:tblGrid>
      <w:tr w:rsidR="00E3060A" w14:paraId="26485795" w14:textId="77777777" w:rsidTr="00E3060A">
        <w:tc>
          <w:tcPr>
            <w:tcW w:w="3006" w:type="dxa"/>
            <w:tcBorders>
              <w:top w:val="single" w:sz="4" w:space="0" w:color="auto"/>
              <w:left w:val="single" w:sz="4" w:space="0" w:color="auto"/>
              <w:bottom w:val="single" w:sz="4" w:space="0" w:color="auto"/>
              <w:right w:val="single" w:sz="4" w:space="0" w:color="auto"/>
            </w:tcBorders>
            <w:vAlign w:val="center"/>
            <w:hideMark/>
          </w:tcPr>
          <w:p w14:paraId="4397F35D" w14:textId="77777777" w:rsidR="00E3060A" w:rsidRDefault="00E3060A">
            <w:pPr>
              <w:shd w:val="clear" w:color="auto" w:fill="FFFFFF"/>
              <w:suppressAutoHyphens/>
              <w:contextualSpacing/>
              <w:rPr>
                <w:b/>
                <w:bCs/>
              </w:rPr>
            </w:pPr>
            <w:r>
              <w:rPr>
                <w:b/>
                <w:bCs/>
              </w:rPr>
              <w:t>Наименование должника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76013FF" w14:textId="77777777" w:rsidR="00E3060A" w:rsidRDefault="00E3060A">
            <w:pPr>
              <w:shd w:val="clear" w:color="auto" w:fill="FFFFFF"/>
              <w:suppressAutoHyphens/>
              <w:contextualSpacing/>
              <w:jc w:val="center"/>
              <w:rPr>
                <w:b/>
                <w:bCs/>
              </w:rPr>
            </w:pPr>
            <w:r>
              <w:rPr>
                <w:b/>
                <w:bCs/>
              </w:rPr>
              <w:t>Серия, номер, дата исполнительного документа</w:t>
            </w:r>
          </w:p>
        </w:tc>
        <w:tc>
          <w:tcPr>
            <w:tcW w:w="2806" w:type="dxa"/>
            <w:tcBorders>
              <w:top w:val="single" w:sz="4" w:space="0" w:color="auto"/>
              <w:left w:val="single" w:sz="4" w:space="0" w:color="auto"/>
              <w:bottom w:val="single" w:sz="4" w:space="0" w:color="auto"/>
              <w:right w:val="single" w:sz="4" w:space="0" w:color="auto"/>
            </w:tcBorders>
            <w:vAlign w:val="center"/>
            <w:hideMark/>
          </w:tcPr>
          <w:p w14:paraId="7BEBF5F9" w14:textId="77777777" w:rsidR="00E3060A" w:rsidRDefault="00E3060A">
            <w:pPr>
              <w:shd w:val="clear" w:color="auto" w:fill="FFFFFF"/>
              <w:suppressAutoHyphens/>
              <w:contextualSpacing/>
              <w:jc w:val="center"/>
              <w:rPr>
                <w:b/>
                <w:bCs/>
              </w:rPr>
            </w:pPr>
            <w:r>
              <w:rPr>
                <w:b/>
                <w:bCs/>
              </w:rPr>
              <w:t>Сумма обязательств, руб.</w:t>
            </w:r>
          </w:p>
        </w:tc>
      </w:tr>
      <w:tr w:rsidR="00E3060A" w14:paraId="6E150F39" w14:textId="77777777" w:rsidTr="00E3060A">
        <w:tc>
          <w:tcPr>
            <w:tcW w:w="3006" w:type="dxa"/>
            <w:tcBorders>
              <w:top w:val="single" w:sz="4" w:space="0" w:color="auto"/>
              <w:left w:val="single" w:sz="4" w:space="0" w:color="auto"/>
              <w:bottom w:val="single" w:sz="4" w:space="0" w:color="auto"/>
              <w:right w:val="single" w:sz="4" w:space="0" w:color="auto"/>
            </w:tcBorders>
            <w:vAlign w:val="center"/>
            <w:hideMark/>
          </w:tcPr>
          <w:p w14:paraId="4054A800" w14:textId="77777777" w:rsidR="00E3060A" w:rsidRDefault="00E3060A">
            <w:pPr>
              <w:shd w:val="clear" w:color="auto" w:fill="FFFFFF"/>
              <w:suppressAutoHyphens/>
              <w:contextualSpacing/>
              <w:rPr>
                <w:bCs/>
              </w:rPr>
            </w:pPr>
            <w:r>
              <w:rPr>
                <w:bCs/>
              </w:rPr>
              <w:t xml:space="preserve">ИП ГКФХ </w:t>
            </w:r>
            <w:proofErr w:type="spellStart"/>
            <w:r>
              <w:rPr>
                <w:bCs/>
              </w:rPr>
              <w:t>Абдулаев</w:t>
            </w:r>
            <w:proofErr w:type="spellEnd"/>
            <w:r>
              <w:rPr>
                <w:bCs/>
              </w:rPr>
              <w:t xml:space="preserve"> </w:t>
            </w:r>
            <w:proofErr w:type="spellStart"/>
            <w:r>
              <w:rPr>
                <w:bCs/>
              </w:rPr>
              <w:t>Абдулкарим</w:t>
            </w:r>
            <w:proofErr w:type="spellEnd"/>
            <w:r>
              <w:rPr>
                <w:bCs/>
              </w:rPr>
              <w:t xml:space="preserve"> </w:t>
            </w:r>
            <w:proofErr w:type="spellStart"/>
            <w:r>
              <w:rPr>
                <w:bCs/>
              </w:rPr>
              <w:t>Алиевич</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0ABDDCAC" w14:textId="77777777" w:rsidR="00E3060A" w:rsidRDefault="00E3060A">
            <w:pPr>
              <w:shd w:val="clear" w:color="auto" w:fill="FFFFFF"/>
              <w:suppressAutoHyphens/>
              <w:contextualSpacing/>
              <w:jc w:val="center"/>
              <w:rPr>
                <w:bCs/>
              </w:rPr>
            </w:pPr>
            <w:r>
              <w:rPr>
                <w:bCs/>
              </w:rPr>
              <w:t>ФС №028123350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0C76FB4" w14:textId="77777777" w:rsidR="00E3060A" w:rsidRDefault="00E3060A">
            <w:pPr>
              <w:shd w:val="clear" w:color="auto" w:fill="FFFFFF"/>
              <w:suppressAutoHyphens/>
              <w:contextualSpacing/>
              <w:jc w:val="center"/>
              <w:rPr>
                <w:bCs/>
              </w:rPr>
            </w:pPr>
            <w:r>
              <w:rPr>
                <w:bCs/>
              </w:rPr>
              <w:t>1 664 054,84</w:t>
            </w:r>
          </w:p>
        </w:tc>
      </w:tr>
      <w:tr w:rsidR="00E3060A" w14:paraId="6A3E6579" w14:textId="77777777" w:rsidTr="00E3060A">
        <w:trPr>
          <w:trHeight w:val="339"/>
        </w:trPr>
        <w:tc>
          <w:tcPr>
            <w:tcW w:w="3006" w:type="dxa"/>
            <w:tcBorders>
              <w:top w:val="single" w:sz="4" w:space="0" w:color="auto"/>
              <w:left w:val="single" w:sz="4" w:space="0" w:color="auto"/>
              <w:bottom w:val="single" w:sz="4" w:space="0" w:color="auto"/>
              <w:right w:val="single" w:sz="4" w:space="0" w:color="auto"/>
            </w:tcBorders>
            <w:vAlign w:val="center"/>
            <w:hideMark/>
          </w:tcPr>
          <w:p w14:paraId="38F5FECF" w14:textId="77777777" w:rsidR="00E3060A" w:rsidRDefault="00E3060A">
            <w:pPr>
              <w:shd w:val="clear" w:color="auto" w:fill="FFFFFF"/>
              <w:suppressAutoHyphens/>
              <w:contextualSpacing/>
              <w:rPr>
                <w:bCs/>
              </w:rPr>
            </w:pPr>
            <w:r>
              <w:rPr>
                <w:bCs/>
              </w:rPr>
              <w:t>Абдулаев А.А.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03D23D7" w14:textId="77777777" w:rsidR="00E3060A" w:rsidRDefault="00E3060A">
            <w:pPr>
              <w:shd w:val="clear" w:color="auto" w:fill="FFFFFF"/>
              <w:suppressAutoHyphens/>
              <w:contextualSpacing/>
              <w:jc w:val="center"/>
              <w:rPr>
                <w:bCs/>
              </w:rPr>
            </w:pPr>
            <w:r>
              <w:rPr>
                <w:bCs/>
              </w:rPr>
              <w:t>ФС №028123351</w:t>
            </w:r>
          </w:p>
        </w:tc>
        <w:tc>
          <w:tcPr>
            <w:tcW w:w="2806" w:type="dxa"/>
            <w:tcBorders>
              <w:top w:val="single" w:sz="4" w:space="0" w:color="auto"/>
              <w:left w:val="single" w:sz="4" w:space="0" w:color="auto"/>
              <w:bottom w:val="single" w:sz="4" w:space="0" w:color="auto"/>
              <w:right w:val="single" w:sz="4" w:space="0" w:color="auto"/>
            </w:tcBorders>
            <w:vAlign w:val="center"/>
            <w:hideMark/>
          </w:tcPr>
          <w:p w14:paraId="5494C45F" w14:textId="77777777" w:rsidR="00E3060A" w:rsidRDefault="00E3060A">
            <w:pPr>
              <w:shd w:val="clear" w:color="auto" w:fill="FFFFFF"/>
              <w:suppressAutoHyphens/>
              <w:contextualSpacing/>
              <w:jc w:val="center"/>
              <w:rPr>
                <w:bCs/>
              </w:rPr>
            </w:pPr>
            <w:r>
              <w:rPr>
                <w:bCs/>
              </w:rPr>
              <w:t>1 664 054,84</w:t>
            </w:r>
          </w:p>
        </w:tc>
      </w:tr>
      <w:tr w:rsidR="00E3060A" w14:paraId="34CCA39F" w14:textId="77777777" w:rsidTr="00E3060A">
        <w:trPr>
          <w:trHeight w:val="273"/>
        </w:trPr>
        <w:tc>
          <w:tcPr>
            <w:tcW w:w="3006" w:type="dxa"/>
            <w:tcBorders>
              <w:top w:val="single" w:sz="4" w:space="0" w:color="auto"/>
              <w:left w:val="single" w:sz="4" w:space="0" w:color="auto"/>
              <w:bottom w:val="single" w:sz="4" w:space="0" w:color="auto"/>
              <w:right w:val="single" w:sz="4" w:space="0" w:color="auto"/>
            </w:tcBorders>
            <w:vAlign w:val="center"/>
            <w:hideMark/>
          </w:tcPr>
          <w:p w14:paraId="76C7C18C" w14:textId="77777777" w:rsidR="00E3060A" w:rsidRDefault="00E3060A">
            <w:pPr>
              <w:shd w:val="clear" w:color="auto" w:fill="FFFFFF"/>
              <w:suppressAutoHyphens/>
              <w:contextualSpacing/>
              <w:rPr>
                <w:bCs/>
              </w:rPr>
            </w:pPr>
            <w:r>
              <w:rPr>
                <w:bCs/>
              </w:rPr>
              <w:t>Магомедов А.С.</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8591BF5" w14:textId="77777777" w:rsidR="00E3060A" w:rsidRDefault="00E3060A">
            <w:pPr>
              <w:shd w:val="clear" w:color="auto" w:fill="FFFFFF"/>
              <w:suppressAutoHyphens/>
              <w:contextualSpacing/>
              <w:jc w:val="center"/>
              <w:rPr>
                <w:bCs/>
              </w:rPr>
            </w:pPr>
            <w:r>
              <w:rPr>
                <w:bCs/>
              </w:rPr>
              <w:t>ФС №028123352</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D9268D6" w14:textId="77777777" w:rsidR="00E3060A" w:rsidRDefault="00E3060A">
            <w:pPr>
              <w:shd w:val="clear" w:color="auto" w:fill="FFFFFF"/>
              <w:suppressAutoHyphens/>
              <w:contextualSpacing/>
              <w:jc w:val="center"/>
              <w:rPr>
                <w:bCs/>
              </w:rPr>
            </w:pPr>
            <w:r>
              <w:rPr>
                <w:bCs/>
              </w:rPr>
              <w:t>Предмет залога</w:t>
            </w:r>
          </w:p>
        </w:tc>
      </w:tr>
    </w:tbl>
    <w:p w14:paraId="29ADE859" w14:textId="77777777" w:rsidR="00E3060A" w:rsidRDefault="00E3060A" w:rsidP="00E3060A">
      <w:pPr>
        <w:shd w:val="clear" w:color="auto" w:fill="FFFFFF"/>
        <w:suppressAutoHyphens/>
        <w:contextualSpacing/>
        <w:jc w:val="both"/>
        <w:rPr>
          <w:bCs/>
        </w:rPr>
      </w:pPr>
      <w:r>
        <w:rPr>
          <w:b/>
          <w:bCs/>
        </w:rPr>
        <w:t>Мероприятия в отношении ИП Абдулаев А.А. (заёмщик)</w:t>
      </w:r>
    </w:p>
    <w:p w14:paraId="0FB77327" w14:textId="77777777" w:rsidR="00E3060A" w:rsidRDefault="00E3060A" w:rsidP="00E3060A">
      <w:pPr>
        <w:shd w:val="clear" w:color="auto" w:fill="FFFFFF"/>
        <w:suppressAutoHyphens/>
        <w:contextualSpacing/>
        <w:jc w:val="both"/>
        <w:rPr>
          <w:bCs/>
        </w:rPr>
      </w:pPr>
      <w:r>
        <w:rPr>
          <w:bCs/>
        </w:rPr>
        <w:t xml:space="preserve">18.03.2020 исполнительный лист передан в УФССП России по РД. </w:t>
      </w:r>
    </w:p>
    <w:p w14:paraId="0BC96A53" w14:textId="77777777" w:rsidR="00E3060A" w:rsidRDefault="00E3060A" w:rsidP="00E3060A">
      <w:pPr>
        <w:shd w:val="clear" w:color="auto" w:fill="FFFFFF"/>
        <w:suppressAutoHyphens/>
        <w:contextualSpacing/>
        <w:jc w:val="both"/>
        <w:rPr>
          <w:bCs/>
        </w:rPr>
      </w:pPr>
      <w:r>
        <w:rPr>
          <w:bCs/>
        </w:rPr>
        <w:t xml:space="preserve">23.03.2020 возбуждено исполнительное </w:t>
      </w:r>
      <w:proofErr w:type="gramStart"/>
      <w:r>
        <w:rPr>
          <w:bCs/>
        </w:rPr>
        <w:t>производство</w:t>
      </w:r>
      <w:proofErr w:type="gramEnd"/>
      <w:r>
        <w:rPr>
          <w:bCs/>
        </w:rPr>
        <w:t xml:space="preserve"> 17762/20/05021-ИП в рамках </w:t>
      </w:r>
      <w:proofErr w:type="gramStart"/>
      <w:r>
        <w:rPr>
          <w:bCs/>
        </w:rPr>
        <w:t>которого</w:t>
      </w:r>
      <w:proofErr w:type="gramEnd"/>
      <w:r>
        <w:rPr>
          <w:bCs/>
        </w:rPr>
        <w:t xml:space="preserve"> имущество и денежные средства, принадлежащее Должнику на праве собственности не обнаружено</w:t>
      </w:r>
    </w:p>
    <w:p w14:paraId="4900ACBF" w14:textId="77777777" w:rsidR="00E3060A" w:rsidRDefault="00E3060A" w:rsidP="00E3060A">
      <w:pPr>
        <w:tabs>
          <w:tab w:val="left" w:pos="426"/>
          <w:tab w:val="left" w:pos="10065"/>
        </w:tabs>
        <w:autoSpaceDE w:val="0"/>
        <w:autoSpaceDN w:val="0"/>
        <w:adjustRightInd w:val="0"/>
        <w:jc w:val="both"/>
        <w:rPr>
          <w:bCs/>
        </w:rPr>
      </w:pPr>
      <w:r>
        <w:rPr>
          <w:bCs/>
          <w:i/>
        </w:rPr>
        <w:t>Вывод: источники погашения задолженности отсутствуют.</w:t>
      </w:r>
    </w:p>
    <w:p w14:paraId="39EFF6E0" w14:textId="77777777" w:rsidR="00E3060A" w:rsidRDefault="00E3060A" w:rsidP="00E3060A">
      <w:pPr>
        <w:shd w:val="clear" w:color="auto" w:fill="FFFFFF"/>
        <w:suppressAutoHyphens/>
        <w:contextualSpacing/>
        <w:jc w:val="both"/>
        <w:rPr>
          <w:bCs/>
        </w:rPr>
      </w:pPr>
    </w:p>
    <w:p w14:paraId="45DEC0E6" w14:textId="77777777" w:rsidR="00E3060A" w:rsidRDefault="00E3060A" w:rsidP="00E3060A">
      <w:pPr>
        <w:shd w:val="clear" w:color="auto" w:fill="FFFFFF"/>
        <w:suppressAutoHyphens/>
        <w:contextualSpacing/>
        <w:jc w:val="both"/>
        <w:rPr>
          <w:bCs/>
        </w:rPr>
      </w:pPr>
      <w:r>
        <w:rPr>
          <w:b/>
          <w:bCs/>
        </w:rPr>
        <w:t>Мероприятия в отношении Абдулаев А.А. (поручитель)</w:t>
      </w:r>
    </w:p>
    <w:p w14:paraId="0D9B0303" w14:textId="77777777" w:rsidR="00E3060A" w:rsidRDefault="00E3060A" w:rsidP="00E3060A">
      <w:pPr>
        <w:shd w:val="clear" w:color="auto" w:fill="FFFFFF"/>
        <w:suppressAutoHyphens/>
        <w:contextualSpacing/>
        <w:jc w:val="both"/>
        <w:rPr>
          <w:bCs/>
        </w:rPr>
      </w:pPr>
      <w:r>
        <w:rPr>
          <w:bCs/>
        </w:rPr>
        <w:t xml:space="preserve">18.03.2020 исполнительный лист передан в УФССП России по РД. </w:t>
      </w:r>
    </w:p>
    <w:p w14:paraId="0ECF3A32" w14:textId="77777777" w:rsidR="00E3060A" w:rsidRDefault="00E3060A" w:rsidP="00E3060A">
      <w:pPr>
        <w:shd w:val="clear" w:color="auto" w:fill="FFFFFF"/>
        <w:suppressAutoHyphens/>
        <w:contextualSpacing/>
        <w:jc w:val="both"/>
        <w:rPr>
          <w:bCs/>
        </w:rPr>
      </w:pPr>
      <w:r>
        <w:rPr>
          <w:bCs/>
        </w:rPr>
        <w:t xml:space="preserve">20.03.2020 возбуждено исполнительное </w:t>
      </w:r>
      <w:proofErr w:type="gramStart"/>
      <w:r>
        <w:rPr>
          <w:bCs/>
        </w:rPr>
        <w:t>производство</w:t>
      </w:r>
      <w:proofErr w:type="gramEnd"/>
      <w:r>
        <w:rPr>
          <w:bCs/>
        </w:rPr>
        <w:t xml:space="preserve"> 17762/20/05021-ИП в рамках </w:t>
      </w:r>
      <w:proofErr w:type="gramStart"/>
      <w:r>
        <w:rPr>
          <w:bCs/>
        </w:rPr>
        <w:t>которого</w:t>
      </w:r>
      <w:proofErr w:type="gramEnd"/>
      <w:r>
        <w:rPr>
          <w:bCs/>
        </w:rPr>
        <w:t xml:space="preserve"> имущество и денежные средства, принадлежащее Должнику на праве собственности не обнаружено.</w:t>
      </w:r>
    </w:p>
    <w:p w14:paraId="3EF85B2B" w14:textId="77777777" w:rsidR="00E3060A" w:rsidRDefault="00E3060A" w:rsidP="00E3060A">
      <w:pPr>
        <w:shd w:val="clear" w:color="auto" w:fill="FFFFFF"/>
        <w:suppressAutoHyphens/>
        <w:contextualSpacing/>
        <w:jc w:val="both"/>
        <w:rPr>
          <w:bCs/>
        </w:rPr>
      </w:pPr>
      <w:r>
        <w:rPr>
          <w:bCs/>
          <w:i/>
        </w:rPr>
        <w:t>Вывод: источники погашения задолженности отсутствуют.</w:t>
      </w:r>
    </w:p>
    <w:p w14:paraId="58CE53A4" w14:textId="77777777" w:rsidR="00E3060A" w:rsidRDefault="00E3060A" w:rsidP="00E3060A">
      <w:pPr>
        <w:shd w:val="clear" w:color="auto" w:fill="FFFFFF"/>
        <w:suppressAutoHyphens/>
        <w:contextualSpacing/>
        <w:jc w:val="both"/>
        <w:rPr>
          <w:bCs/>
          <w:highlight w:val="yellow"/>
        </w:rPr>
      </w:pPr>
    </w:p>
    <w:p w14:paraId="7E6B9E4E" w14:textId="77777777" w:rsidR="00E3060A" w:rsidRDefault="00E3060A" w:rsidP="00E3060A">
      <w:pPr>
        <w:shd w:val="clear" w:color="auto" w:fill="FFFFFF"/>
        <w:suppressAutoHyphens/>
        <w:contextualSpacing/>
        <w:jc w:val="both"/>
        <w:rPr>
          <w:bCs/>
        </w:rPr>
      </w:pPr>
      <w:r>
        <w:rPr>
          <w:b/>
          <w:bCs/>
        </w:rPr>
        <w:t>Мероприятия в отношении Магомедов А.С. (залогодатель)</w:t>
      </w:r>
    </w:p>
    <w:p w14:paraId="01A50D7A" w14:textId="77777777" w:rsidR="00E3060A" w:rsidRDefault="00E3060A" w:rsidP="00E3060A">
      <w:pPr>
        <w:shd w:val="clear" w:color="auto" w:fill="FFFFFF"/>
        <w:suppressAutoHyphens/>
        <w:ind w:right="-284" w:hanging="426"/>
        <w:contextualSpacing/>
        <w:jc w:val="both"/>
        <w:rPr>
          <w:bCs/>
        </w:rPr>
      </w:pPr>
      <w:r>
        <w:rPr>
          <w:bCs/>
        </w:rPr>
        <w:t xml:space="preserve">        18.03.2020 исполнительный лист передан в УФССП России по РД. </w:t>
      </w:r>
    </w:p>
    <w:p w14:paraId="3402AD9B" w14:textId="77777777" w:rsidR="00E3060A" w:rsidRDefault="00E3060A" w:rsidP="00E3060A">
      <w:pPr>
        <w:shd w:val="clear" w:color="auto" w:fill="FFFFFF"/>
        <w:suppressAutoHyphens/>
        <w:ind w:right="-284"/>
        <w:contextualSpacing/>
        <w:jc w:val="both"/>
        <w:rPr>
          <w:bCs/>
        </w:rPr>
      </w:pPr>
      <w:r>
        <w:rPr>
          <w:bCs/>
        </w:rPr>
        <w:t xml:space="preserve">20.03.2020 возбуждено исполнительное производство 17764/20/05021-ИП. </w:t>
      </w:r>
    </w:p>
    <w:p w14:paraId="65CAD432" w14:textId="77777777" w:rsidR="00E3060A" w:rsidRDefault="00E3060A" w:rsidP="00E3060A">
      <w:pPr>
        <w:shd w:val="clear" w:color="auto" w:fill="FFFFFF"/>
        <w:suppressAutoHyphens/>
        <w:ind w:right="-284"/>
        <w:contextualSpacing/>
        <w:jc w:val="both"/>
        <w:rPr>
          <w:bCs/>
        </w:rPr>
      </w:pPr>
      <w:r>
        <w:rPr>
          <w:bCs/>
        </w:rPr>
        <w:t>30.03.2021 наложен арест на имущество должника.</w:t>
      </w:r>
    </w:p>
    <w:p w14:paraId="313B730B" w14:textId="77777777" w:rsidR="00E3060A" w:rsidRDefault="00E3060A" w:rsidP="00E3060A">
      <w:pPr>
        <w:shd w:val="clear" w:color="auto" w:fill="FFFFFF"/>
        <w:suppressAutoHyphens/>
        <w:ind w:right="-284"/>
        <w:contextualSpacing/>
        <w:jc w:val="both"/>
        <w:rPr>
          <w:bCs/>
        </w:rPr>
      </w:pPr>
      <w:r>
        <w:rPr>
          <w:bCs/>
        </w:rPr>
        <w:t xml:space="preserve">28.09.2021 подана обращение на имя руководителя отдела ФССП о причинах не передачи на </w:t>
      </w:r>
    </w:p>
    <w:p w14:paraId="50B94C4E" w14:textId="77777777" w:rsidR="00E3060A" w:rsidRDefault="00E3060A" w:rsidP="00E3060A">
      <w:pPr>
        <w:shd w:val="clear" w:color="auto" w:fill="FFFFFF"/>
        <w:suppressAutoHyphens/>
        <w:ind w:right="-284"/>
        <w:contextualSpacing/>
        <w:jc w:val="both"/>
        <w:rPr>
          <w:bCs/>
        </w:rPr>
      </w:pPr>
      <w:r>
        <w:rPr>
          <w:bCs/>
        </w:rPr>
        <w:t>реализацию.</w:t>
      </w:r>
    </w:p>
    <w:p w14:paraId="6FB127F8" w14:textId="77777777" w:rsidR="00E3060A" w:rsidRDefault="00E3060A" w:rsidP="00E3060A">
      <w:pPr>
        <w:shd w:val="clear" w:color="auto" w:fill="FFFFFF"/>
        <w:suppressAutoHyphens/>
        <w:ind w:right="-284"/>
        <w:contextualSpacing/>
        <w:jc w:val="both"/>
        <w:rPr>
          <w:bCs/>
        </w:rPr>
      </w:pPr>
      <w:r>
        <w:rPr>
          <w:bCs/>
        </w:rPr>
        <w:t>15.12.2021 судебным приставом исполнителем передано имущество на торги.</w:t>
      </w:r>
    </w:p>
    <w:p w14:paraId="7A575AEA" w14:textId="77777777" w:rsidR="00E3060A" w:rsidRDefault="00E3060A" w:rsidP="00E3060A">
      <w:pPr>
        <w:shd w:val="clear" w:color="auto" w:fill="FFFFFF"/>
        <w:suppressAutoHyphens/>
        <w:ind w:right="-284"/>
        <w:contextualSpacing/>
        <w:jc w:val="both"/>
        <w:rPr>
          <w:bCs/>
        </w:rPr>
      </w:pPr>
      <w:r>
        <w:rPr>
          <w:bCs/>
        </w:rPr>
        <w:t xml:space="preserve">25.03.2022 прошли первые торги, в связи с отсутствием поданных заявок, торги </w:t>
      </w:r>
    </w:p>
    <w:p w14:paraId="0447ACBC" w14:textId="77777777" w:rsidR="00E3060A" w:rsidRDefault="00E3060A" w:rsidP="00E3060A">
      <w:pPr>
        <w:shd w:val="clear" w:color="auto" w:fill="FFFFFF"/>
        <w:suppressAutoHyphens/>
        <w:ind w:right="-284"/>
        <w:contextualSpacing/>
        <w:jc w:val="both"/>
        <w:rPr>
          <w:bCs/>
        </w:rPr>
      </w:pPr>
      <w:r>
        <w:rPr>
          <w:bCs/>
        </w:rPr>
        <w:t>признаны несостоявшимися.</w:t>
      </w:r>
    </w:p>
    <w:p w14:paraId="4CBA6729" w14:textId="77777777" w:rsidR="00E3060A" w:rsidRDefault="00E3060A" w:rsidP="00E3060A">
      <w:pPr>
        <w:shd w:val="clear" w:color="auto" w:fill="FFFFFF"/>
        <w:suppressAutoHyphens/>
        <w:ind w:right="-284"/>
        <w:contextualSpacing/>
        <w:jc w:val="both"/>
        <w:rPr>
          <w:bCs/>
        </w:rPr>
      </w:pPr>
      <w:r>
        <w:rPr>
          <w:bCs/>
        </w:rPr>
        <w:t xml:space="preserve">14.04.2022 банком было подано заявление в суд, об изменении начальной продажной цены имущества. </w:t>
      </w:r>
    </w:p>
    <w:p w14:paraId="261478F2" w14:textId="77777777" w:rsidR="00E3060A" w:rsidRDefault="00E3060A" w:rsidP="00E3060A">
      <w:pPr>
        <w:shd w:val="clear" w:color="auto" w:fill="FFFFFF"/>
        <w:suppressAutoHyphens/>
        <w:ind w:right="-284"/>
        <w:contextualSpacing/>
        <w:jc w:val="both"/>
        <w:rPr>
          <w:bCs/>
        </w:rPr>
      </w:pPr>
      <w:r>
        <w:rPr>
          <w:bCs/>
        </w:rPr>
        <w:t xml:space="preserve">Дата рассмотрение процесса по данному делу еще не определена.   </w:t>
      </w:r>
    </w:p>
    <w:p w14:paraId="7A70A8B6" w14:textId="77777777" w:rsidR="00E3060A" w:rsidRDefault="00E3060A" w:rsidP="00E3060A">
      <w:pPr>
        <w:shd w:val="clear" w:color="auto" w:fill="FFFFFF"/>
        <w:suppressAutoHyphens/>
        <w:ind w:right="-284" w:hanging="426"/>
        <w:contextualSpacing/>
        <w:jc w:val="both"/>
        <w:rPr>
          <w:bCs/>
        </w:rPr>
      </w:pPr>
      <w:r>
        <w:rPr>
          <w:bCs/>
        </w:rPr>
        <w:t xml:space="preserve">        В настоящее время СПИ проводится мероприятия в рамках ФЗ «Об исполнительном производстве».</w:t>
      </w:r>
    </w:p>
    <w:p w14:paraId="4F05554A" w14:textId="77777777" w:rsidR="00E3060A" w:rsidRDefault="00E3060A" w:rsidP="00E3060A">
      <w:pPr>
        <w:jc w:val="both"/>
        <w:rPr>
          <w:rFonts w:eastAsiaTheme="minorEastAsia"/>
          <w:sz w:val="24"/>
          <w:szCs w:val="24"/>
        </w:rPr>
      </w:pPr>
      <w:r>
        <w:rPr>
          <w:sz w:val="24"/>
          <w:szCs w:val="24"/>
        </w:rPr>
        <w:t xml:space="preserve"> </w:t>
      </w:r>
    </w:p>
    <w:p w14:paraId="70BCCCA8" w14:textId="77777777" w:rsidR="00BC25C4" w:rsidRDefault="00BC25C4" w:rsidP="00AB3D59">
      <w:pPr>
        <w:widowControl w:val="0"/>
        <w:ind w:left="4536" w:right="20" w:hanging="142"/>
        <w:rPr>
          <w:sz w:val="24"/>
          <w:szCs w:val="24"/>
          <w:lang w:eastAsia="en-US"/>
        </w:rPr>
      </w:pPr>
    </w:p>
    <w:p w14:paraId="3C7A8021" w14:textId="77777777" w:rsidR="00BC25C4" w:rsidRDefault="00BC25C4" w:rsidP="00AB3D59">
      <w:pPr>
        <w:widowControl w:val="0"/>
        <w:ind w:left="4536" w:right="20" w:hanging="142"/>
        <w:rPr>
          <w:sz w:val="24"/>
          <w:szCs w:val="24"/>
          <w:lang w:eastAsia="en-US"/>
        </w:rPr>
      </w:pPr>
    </w:p>
    <w:p w14:paraId="00F27B83" w14:textId="77777777" w:rsidR="00BC25C4" w:rsidRDefault="00BC25C4" w:rsidP="00AB3D59">
      <w:pPr>
        <w:widowControl w:val="0"/>
        <w:ind w:left="4536" w:right="20" w:hanging="142"/>
        <w:rPr>
          <w:sz w:val="24"/>
          <w:szCs w:val="24"/>
          <w:lang w:eastAsia="en-US"/>
        </w:rPr>
      </w:pPr>
    </w:p>
    <w:p w14:paraId="49983D9E" w14:textId="77777777" w:rsidR="00BC25C4" w:rsidRDefault="00BC25C4" w:rsidP="00AB3D59">
      <w:pPr>
        <w:widowControl w:val="0"/>
        <w:ind w:left="4536" w:right="20" w:hanging="142"/>
        <w:rPr>
          <w:sz w:val="24"/>
          <w:szCs w:val="24"/>
          <w:lang w:eastAsia="en-US"/>
        </w:rPr>
      </w:pPr>
    </w:p>
    <w:p w14:paraId="1457A170" w14:textId="77777777" w:rsidR="00BC25C4" w:rsidRDefault="00BC25C4" w:rsidP="00AB3D59">
      <w:pPr>
        <w:widowControl w:val="0"/>
        <w:ind w:left="4536" w:right="20" w:hanging="142"/>
        <w:rPr>
          <w:sz w:val="24"/>
          <w:szCs w:val="24"/>
          <w:lang w:eastAsia="en-US"/>
        </w:rPr>
      </w:pPr>
    </w:p>
    <w:p w14:paraId="20C9FBB0" w14:textId="77777777" w:rsidR="00BC25C4" w:rsidRDefault="00BC25C4" w:rsidP="00AB3D59">
      <w:pPr>
        <w:widowControl w:val="0"/>
        <w:ind w:left="4536" w:right="20" w:hanging="142"/>
        <w:rPr>
          <w:sz w:val="24"/>
          <w:szCs w:val="24"/>
          <w:lang w:eastAsia="en-US"/>
        </w:rPr>
      </w:pPr>
    </w:p>
    <w:p w14:paraId="69F6D7CC" w14:textId="77777777" w:rsidR="00BC25C4" w:rsidRDefault="00BC25C4" w:rsidP="00AB3D59">
      <w:pPr>
        <w:widowControl w:val="0"/>
        <w:ind w:left="4536" w:right="20" w:hanging="142"/>
        <w:rPr>
          <w:sz w:val="24"/>
          <w:szCs w:val="24"/>
          <w:lang w:eastAsia="en-US"/>
        </w:rPr>
      </w:pPr>
    </w:p>
    <w:p w14:paraId="45B05AF3" w14:textId="77777777" w:rsidR="00BC25C4" w:rsidRDefault="00BC25C4" w:rsidP="00AB3D59">
      <w:pPr>
        <w:widowControl w:val="0"/>
        <w:ind w:left="4536" w:right="20" w:hanging="142"/>
        <w:rPr>
          <w:sz w:val="24"/>
          <w:szCs w:val="24"/>
          <w:lang w:eastAsia="en-US"/>
        </w:rPr>
      </w:pPr>
    </w:p>
    <w:p w14:paraId="59400DDE" w14:textId="77777777" w:rsidR="00BC25C4" w:rsidRDefault="00BC25C4" w:rsidP="00AB3D59">
      <w:pPr>
        <w:widowControl w:val="0"/>
        <w:ind w:left="4536" w:right="20" w:hanging="142"/>
        <w:rPr>
          <w:sz w:val="24"/>
          <w:szCs w:val="24"/>
          <w:lang w:eastAsia="en-US"/>
        </w:rPr>
      </w:pPr>
    </w:p>
    <w:p w14:paraId="6320A91D" w14:textId="77777777" w:rsidR="00BC25C4" w:rsidRDefault="00BC25C4" w:rsidP="00AB3D59">
      <w:pPr>
        <w:widowControl w:val="0"/>
        <w:ind w:left="4536" w:right="20" w:hanging="142"/>
        <w:rPr>
          <w:sz w:val="24"/>
          <w:szCs w:val="24"/>
          <w:lang w:eastAsia="en-US"/>
        </w:rPr>
      </w:pPr>
    </w:p>
    <w:p w14:paraId="0B0F976C" w14:textId="77777777" w:rsidR="00BC25C4" w:rsidRDefault="00BC25C4" w:rsidP="00AB3D59">
      <w:pPr>
        <w:widowControl w:val="0"/>
        <w:ind w:left="4536" w:right="20" w:hanging="142"/>
        <w:rPr>
          <w:sz w:val="24"/>
          <w:szCs w:val="24"/>
          <w:lang w:eastAsia="en-US"/>
        </w:rPr>
      </w:pPr>
    </w:p>
    <w:p w14:paraId="1B07287A" w14:textId="77777777" w:rsidR="00BC25C4" w:rsidRDefault="00BC25C4" w:rsidP="00AB3D59">
      <w:pPr>
        <w:widowControl w:val="0"/>
        <w:ind w:left="4536" w:right="20" w:hanging="142"/>
        <w:rPr>
          <w:sz w:val="24"/>
          <w:szCs w:val="24"/>
          <w:lang w:eastAsia="en-US"/>
        </w:rPr>
      </w:pPr>
    </w:p>
    <w:p w14:paraId="6C69C604" w14:textId="77777777" w:rsidR="00BC25C4" w:rsidRDefault="00BC25C4" w:rsidP="00AB3D59">
      <w:pPr>
        <w:widowControl w:val="0"/>
        <w:ind w:left="4536" w:right="20" w:hanging="142"/>
        <w:rPr>
          <w:sz w:val="24"/>
          <w:szCs w:val="24"/>
          <w:lang w:eastAsia="en-US"/>
        </w:rPr>
      </w:pPr>
    </w:p>
    <w:p w14:paraId="5F38C121" w14:textId="77777777" w:rsidR="00BC25C4" w:rsidRDefault="00BC25C4" w:rsidP="00AB3D59">
      <w:pPr>
        <w:widowControl w:val="0"/>
        <w:ind w:left="4536" w:right="20" w:hanging="142"/>
        <w:rPr>
          <w:sz w:val="24"/>
          <w:szCs w:val="24"/>
          <w:lang w:eastAsia="en-US"/>
        </w:rPr>
      </w:pPr>
    </w:p>
    <w:p w14:paraId="2996AEE9" w14:textId="77777777" w:rsidR="00B44510" w:rsidRDefault="00B44510" w:rsidP="00AB3D59">
      <w:pPr>
        <w:widowControl w:val="0"/>
        <w:ind w:left="4536" w:right="20" w:hanging="142"/>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38D53A6F"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5D004741" w14:textId="6EBA7242" w:rsidR="00304D7B" w:rsidRDefault="00304D7B" w:rsidP="00EC430A">
      <w:pPr>
        <w:rPr>
          <w:sz w:val="24"/>
          <w:szCs w:val="24"/>
        </w:rPr>
      </w:pPr>
      <w:bookmarkStart w:id="16" w:name="_GoBack"/>
      <w:bookmarkEnd w:id="16"/>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9A446" w14:textId="77777777" w:rsidR="00A86353" w:rsidRDefault="00A86353" w:rsidP="00020E44">
      <w:r>
        <w:separator/>
      </w:r>
    </w:p>
  </w:endnote>
  <w:endnote w:type="continuationSeparator" w:id="0">
    <w:p w14:paraId="47C3A4C3" w14:textId="77777777" w:rsidR="00A86353" w:rsidRDefault="00A8635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D1C3C" w14:textId="77777777" w:rsidR="00A86353" w:rsidRDefault="00A86353" w:rsidP="00020E44">
      <w:r>
        <w:separator/>
      </w:r>
    </w:p>
  </w:footnote>
  <w:footnote w:type="continuationSeparator" w:id="0">
    <w:p w14:paraId="6F74827C" w14:textId="77777777" w:rsidR="00A86353" w:rsidRDefault="00A86353"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F32A8"/>
    <w:multiLevelType w:val="hybridMultilevel"/>
    <w:tmpl w:val="AC0CC85C"/>
    <w:numStyleLink w:val="23"/>
  </w:abstractNum>
  <w:abstractNum w:abstractNumId="4">
    <w:nsid w:val="5DB40B1F"/>
    <w:multiLevelType w:val="hybridMultilevel"/>
    <w:tmpl w:val="AC0CC85C"/>
    <w:numStyleLink w:val="23"/>
  </w:abstractNum>
  <w:abstractNum w:abstractNumId="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05B2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1301A"/>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23AAE"/>
    <w:rsid w:val="00A5020E"/>
    <w:rsid w:val="00A54663"/>
    <w:rsid w:val="00A651A8"/>
    <w:rsid w:val="00A66290"/>
    <w:rsid w:val="00A730D5"/>
    <w:rsid w:val="00A77D72"/>
    <w:rsid w:val="00A81EAC"/>
    <w:rsid w:val="00A86353"/>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44510"/>
    <w:rsid w:val="00B5095D"/>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5E92"/>
    <w:rsid w:val="00C87EB5"/>
    <w:rsid w:val="00CA0587"/>
    <w:rsid w:val="00CA67B7"/>
    <w:rsid w:val="00CB57EE"/>
    <w:rsid w:val="00CC713D"/>
    <w:rsid w:val="00CC7647"/>
    <w:rsid w:val="00CE30E9"/>
    <w:rsid w:val="00CF587E"/>
    <w:rsid w:val="00D01B06"/>
    <w:rsid w:val="00D041D8"/>
    <w:rsid w:val="00D05DA9"/>
    <w:rsid w:val="00D17325"/>
    <w:rsid w:val="00D2029C"/>
    <w:rsid w:val="00D226E6"/>
    <w:rsid w:val="00D256EF"/>
    <w:rsid w:val="00D3054F"/>
    <w:rsid w:val="00D3147E"/>
    <w:rsid w:val="00D34972"/>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7499-B12D-4D7C-9D39-59860F4A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6425</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2024-10-07T12:37:00Z</dcterms:created>
  <dcterms:modified xsi:type="dcterms:W3CDTF">2024-10-07T12:37:00Z</dcterms:modified>
</cp:coreProperties>
</file>