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7D745309" w14:textId="034DA5F7" w:rsidR="00BB3EBB" w:rsidRDefault="00020E44" w:rsidP="008661BC">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8661BC">
        <w:rPr>
          <w:rFonts w:eastAsiaTheme="minorHAnsi"/>
          <w:bCs/>
          <w:sz w:val="24"/>
          <w:szCs w:val="24"/>
          <w:lang w:eastAsia="en-US"/>
        </w:rPr>
        <w:t>з</w:t>
      </w:r>
      <w:r w:rsidR="008661BC" w:rsidRPr="008661BC">
        <w:rPr>
          <w:rFonts w:eastAsiaTheme="minorHAnsi"/>
          <w:bCs/>
          <w:sz w:val="24"/>
          <w:szCs w:val="24"/>
          <w:lang w:eastAsia="en-US"/>
        </w:rPr>
        <w:t>дание учебно-административное площадью 4 451,7 кв. м., кадастровый №13:23:1113253:99, и земельный участок площадью 19 173 +/- 30 кв. м. категория земель: земли населенных пунктов, разрешенное использование: для эксплуатации учебного корпуса, кадастровый №13:23:1113253:20, расположенные по адресу: Адрес: Республика Мордовия, г. Саранск, ул. Транспортная, д. 19.</w:t>
      </w:r>
    </w:p>
    <w:p w14:paraId="62E20D41" w14:textId="77777777" w:rsidR="008661BC" w:rsidRDefault="008661BC" w:rsidP="008661BC">
      <w:pPr>
        <w:widowControl w:val="0"/>
        <w:jc w:val="both"/>
        <w:rPr>
          <w:rFonts w:eastAsiaTheme="minorHAnsi"/>
          <w:bCs/>
          <w:sz w:val="24"/>
          <w:szCs w:val="24"/>
          <w:lang w:eastAsia="en-US"/>
        </w:rPr>
      </w:pPr>
    </w:p>
    <w:p w14:paraId="5448B7C9" w14:textId="1123E2BC" w:rsidR="002B6080" w:rsidRPr="00E90195" w:rsidRDefault="00F73765" w:rsidP="00A13974">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56AFF2FF"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w:t>
      </w:r>
      <w:r w:rsidR="008661BC">
        <w:rPr>
          <w:sz w:val="24"/>
          <w:szCs w:val="24"/>
        </w:rPr>
        <w:t>14</w:t>
      </w:r>
      <w:r w:rsidR="000C56F8">
        <w:rPr>
          <w:sz w:val="24"/>
          <w:szCs w:val="24"/>
        </w:rPr>
        <w:t>»</w:t>
      </w:r>
      <w:r w:rsidRPr="003C0393">
        <w:rPr>
          <w:sz w:val="24"/>
          <w:szCs w:val="24"/>
        </w:rPr>
        <w:t xml:space="preserve"> </w:t>
      </w:r>
      <w:r w:rsidR="008661BC">
        <w:rPr>
          <w:sz w:val="24"/>
          <w:szCs w:val="24"/>
        </w:rPr>
        <w:t>октября</w:t>
      </w:r>
      <w:r w:rsidRPr="003C0393">
        <w:rPr>
          <w:sz w:val="24"/>
          <w:szCs w:val="24"/>
        </w:rPr>
        <w:t xml:space="preserve"> 2024 по «</w:t>
      </w:r>
      <w:r w:rsidR="008661BC">
        <w:rPr>
          <w:sz w:val="24"/>
          <w:szCs w:val="24"/>
        </w:rPr>
        <w:t>15</w:t>
      </w:r>
      <w:r w:rsidRPr="003C0393">
        <w:rPr>
          <w:sz w:val="24"/>
          <w:szCs w:val="24"/>
        </w:rPr>
        <w:t xml:space="preserve">» </w:t>
      </w:r>
      <w:r w:rsidR="008661BC">
        <w:rPr>
          <w:sz w:val="24"/>
          <w:szCs w:val="24"/>
        </w:rPr>
        <w:t>ноября</w:t>
      </w:r>
      <w:r w:rsidRPr="003C0393">
        <w:rPr>
          <w:sz w:val="24"/>
          <w:szCs w:val="24"/>
        </w:rPr>
        <w:t xml:space="preserve"> 2024 включительно.  </w:t>
      </w:r>
    </w:p>
    <w:p w14:paraId="6B3E1829" w14:textId="77777777" w:rsidR="003C0393" w:rsidRPr="003C0393" w:rsidRDefault="003C0393" w:rsidP="003C0393">
      <w:pPr>
        <w:widowControl w:val="0"/>
        <w:jc w:val="both"/>
        <w:rPr>
          <w:sz w:val="24"/>
          <w:szCs w:val="24"/>
        </w:rPr>
      </w:pPr>
    </w:p>
    <w:p w14:paraId="4831C100" w14:textId="5561D6EF"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 xml:space="preserve">не позднее </w:t>
      </w:r>
      <w:r w:rsidR="008661BC" w:rsidRPr="008661BC">
        <w:rPr>
          <w:sz w:val="24"/>
          <w:szCs w:val="24"/>
        </w:rPr>
        <w:t>«14» октября 2024</w:t>
      </w:r>
      <w:r w:rsidRPr="003C0393">
        <w:rPr>
          <w:sz w:val="24"/>
          <w:szCs w:val="24"/>
        </w:rPr>
        <w:t>.</w:t>
      </w:r>
    </w:p>
    <w:p w14:paraId="37C5EA40" w14:textId="77777777" w:rsidR="003C0393" w:rsidRPr="003C0393" w:rsidRDefault="003C0393" w:rsidP="003C0393">
      <w:pPr>
        <w:widowControl w:val="0"/>
        <w:jc w:val="both"/>
        <w:rPr>
          <w:b/>
          <w:bCs/>
          <w:sz w:val="24"/>
          <w:szCs w:val="24"/>
        </w:rPr>
      </w:pPr>
    </w:p>
    <w:p w14:paraId="3EB87D81" w14:textId="1021CE85"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w:t>
      </w:r>
      <w:r w:rsidR="008661BC">
        <w:rPr>
          <w:sz w:val="24"/>
          <w:szCs w:val="24"/>
        </w:rPr>
        <w:t>0</w:t>
      </w:r>
      <w:r w:rsidRPr="003C0393">
        <w:rPr>
          <w:sz w:val="24"/>
          <w:szCs w:val="24"/>
        </w:rPr>
        <w:t>:00 по Московскому времени «</w:t>
      </w:r>
      <w:r w:rsidR="008661BC" w:rsidRPr="008661BC">
        <w:rPr>
          <w:sz w:val="24"/>
          <w:szCs w:val="24"/>
        </w:rPr>
        <w:t>1</w:t>
      </w:r>
      <w:r w:rsidR="008661BC">
        <w:rPr>
          <w:sz w:val="24"/>
          <w:szCs w:val="24"/>
        </w:rPr>
        <w:t>5</w:t>
      </w:r>
      <w:r w:rsidR="008661BC" w:rsidRPr="008661BC">
        <w:rPr>
          <w:sz w:val="24"/>
          <w:szCs w:val="24"/>
        </w:rPr>
        <w:t>» октября 2024</w:t>
      </w:r>
      <w:r w:rsidRPr="003C0393">
        <w:rPr>
          <w:sz w:val="24"/>
          <w:szCs w:val="24"/>
        </w:rPr>
        <w:t>.</w:t>
      </w:r>
    </w:p>
    <w:p w14:paraId="46B3990D" w14:textId="77777777" w:rsidR="003C0393" w:rsidRPr="003C0393" w:rsidRDefault="003C0393" w:rsidP="003C0393">
      <w:pPr>
        <w:widowControl w:val="0"/>
        <w:jc w:val="both"/>
        <w:rPr>
          <w:sz w:val="24"/>
          <w:szCs w:val="24"/>
        </w:rPr>
      </w:pPr>
    </w:p>
    <w:p w14:paraId="730363BB" w14:textId="336C92F9"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008661BC">
        <w:rPr>
          <w:sz w:val="24"/>
          <w:szCs w:val="24"/>
        </w:rPr>
        <w:t>12</w:t>
      </w:r>
      <w:r w:rsidRPr="003C0393">
        <w:rPr>
          <w:sz w:val="24"/>
          <w:szCs w:val="24"/>
        </w:rPr>
        <w:t xml:space="preserve">:00 по Московскому времени </w:t>
      </w:r>
      <w:r w:rsidR="00CD1ADA" w:rsidRPr="00CD1ADA">
        <w:rPr>
          <w:sz w:val="24"/>
          <w:szCs w:val="24"/>
        </w:rPr>
        <w:t>«</w:t>
      </w:r>
      <w:r w:rsidR="00CD1ADA">
        <w:rPr>
          <w:sz w:val="24"/>
          <w:szCs w:val="24"/>
        </w:rPr>
        <w:t>08</w:t>
      </w:r>
      <w:r w:rsidR="00CD1ADA" w:rsidRPr="00CD1ADA">
        <w:rPr>
          <w:sz w:val="24"/>
          <w:szCs w:val="24"/>
        </w:rPr>
        <w:t>» ноября</w:t>
      </w:r>
      <w:r w:rsidRPr="003C0393">
        <w:rPr>
          <w:sz w:val="24"/>
          <w:szCs w:val="24"/>
        </w:rPr>
        <w:t xml:space="preserve"> 2024.</w:t>
      </w:r>
    </w:p>
    <w:p w14:paraId="6415FF3B" w14:textId="77777777" w:rsidR="003C0393" w:rsidRPr="003C0393" w:rsidRDefault="003C0393" w:rsidP="003C0393">
      <w:pPr>
        <w:widowControl w:val="0"/>
        <w:jc w:val="both"/>
        <w:rPr>
          <w:b/>
          <w:bCs/>
          <w:sz w:val="24"/>
          <w:szCs w:val="24"/>
        </w:rPr>
      </w:pPr>
    </w:p>
    <w:p w14:paraId="3AED75D7" w14:textId="7994913A"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00CD1ADA" w:rsidRPr="00CD1ADA">
        <w:rPr>
          <w:sz w:val="24"/>
          <w:szCs w:val="24"/>
        </w:rPr>
        <w:t>«1</w:t>
      </w:r>
      <w:r w:rsidR="00CD1ADA">
        <w:rPr>
          <w:sz w:val="24"/>
          <w:szCs w:val="24"/>
        </w:rPr>
        <w:t>4</w:t>
      </w:r>
      <w:r w:rsidR="00CD1ADA" w:rsidRPr="00CD1ADA">
        <w:rPr>
          <w:sz w:val="24"/>
          <w:szCs w:val="24"/>
        </w:rPr>
        <w:t xml:space="preserve">» ноября </w:t>
      </w:r>
      <w:r w:rsidRPr="003C0393">
        <w:rPr>
          <w:sz w:val="24"/>
          <w:szCs w:val="24"/>
        </w:rPr>
        <w:t>2024.</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7B25C0D7" w:rsidR="003C0393" w:rsidRPr="003C0393" w:rsidRDefault="003C0393" w:rsidP="003C0393">
      <w:pPr>
        <w:widowControl w:val="0"/>
        <w:jc w:val="both"/>
        <w:rPr>
          <w:sz w:val="24"/>
          <w:szCs w:val="24"/>
        </w:rPr>
      </w:pPr>
      <w:r w:rsidRPr="003C0393">
        <w:rPr>
          <w:b/>
          <w:bCs/>
          <w:sz w:val="24"/>
          <w:szCs w:val="24"/>
        </w:rPr>
        <w:t xml:space="preserve"> </w:t>
      </w:r>
      <w:r w:rsidR="00CD1ADA" w:rsidRPr="00CD1ADA">
        <w:rPr>
          <w:sz w:val="24"/>
          <w:szCs w:val="24"/>
        </w:rPr>
        <w:t>«1</w:t>
      </w:r>
      <w:r w:rsidR="00CD1ADA">
        <w:rPr>
          <w:sz w:val="24"/>
          <w:szCs w:val="24"/>
        </w:rPr>
        <w:t>4</w:t>
      </w:r>
      <w:r w:rsidR="00CD1ADA" w:rsidRPr="00CD1ADA">
        <w:rPr>
          <w:sz w:val="24"/>
          <w:szCs w:val="24"/>
        </w:rPr>
        <w:t xml:space="preserve">» ноября </w:t>
      </w:r>
      <w:r w:rsidRPr="003C0393">
        <w:rPr>
          <w:sz w:val="24"/>
          <w:szCs w:val="24"/>
        </w:rPr>
        <w:t>2024.</w:t>
      </w:r>
    </w:p>
    <w:p w14:paraId="69E4EBCE" w14:textId="77777777" w:rsidR="003C0393" w:rsidRPr="003C0393" w:rsidRDefault="003C0393" w:rsidP="003C0393">
      <w:pPr>
        <w:widowControl w:val="0"/>
        <w:jc w:val="both"/>
        <w:rPr>
          <w:sz w:val="24"/>
          <w:szCs w:val="24"/>
        </w:rPr>
      </w:pPr>
    </w:p>
    <w:p w14:paraId="0E372B29" w14:textId="23760199"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00CD1ADA">
        <w:rPr>
          <w:sz w:val="24"/>
          <w:szCs w:val="24"/>
        </w:rPr>
        <w:t>10</w:t>
      </w:r>
      <w:r w:rsidRPr="003C0393">
        <w:rPr>
          <w:sz w:val="24"/>
          <w:szCs w:val="24"/>
        </w:rPr>
        <w:t xml:space="preserve">:00 по Московскому времени </w:t>
      </w:r>
      <w:r w:rsidR="00CD1ADA" w:rsidRPr="00CD1ADA">
        <w:rPr>
          <w:sz w:val="24"/>
          <w:szCs w:val="24"/>
        </w:rPr>
        <w:t xml:space="preserve">«15» ноября </w:t>
      </w:r>
      <w:r w:rsidRPr="003C0393">
        <w:rPr>
          <w:sz w:val="24"/>
          <w:szCs w:val="24"/>
        </w:rPr>
        <w:t>2024.</w:t>
      </w:r>
    </w:p>
    <w:p w14:paraId="757F77E4" w14:textId="77777777" w:rsidR="003C0393" w:rsidRPr="003C0393" w:rsidRDefault="003C0393" w:rsidP="003C0393">
      <w:pPr>
        <w:widowControl w:val="0"/>
        <w:jc w:val="both"/>
        <w:rPr>
          <w:sz w:val="24"/>
          <w:szCs w:val="24"/>
        </w:rPr>
      </w:pPr>
    </w:p>
    <w:p w14:paraId="36276847" w14:textId="0CD2DA6A"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00D1412E" w:rsidRPr="00D1412E">
        <w:rPr>
          <w:sz w:val="24"/>
          <w:szCs w:val="24"/>
        </w:rPr>
        <w:t xml:space="preserve">«15» ноября </w:t>
      </w:r>
      <w:r w:rsidRPr="003C0393">
        <w:rPr>
          <w:sz w:val="24"/>
          <w:szCs w:val="24"/>
        </w:rPr>
        <w:t>2024.</w:t>
      </w:r>
    </w:p>
    <w:p w14:paraId="20D84EC7" w14:textId="77777777" w:rsidR="003C0393" w:rsidRPr="003C0393" w:rsidRDefault="003C0393" w:rsidP="003C0393">
      <w:pPr>
        <w:widowControl w:val="0"/>
        <w:jc w:val="both"/>
        <w:rPr>
          <w:b/>
          <w:bCs/>
          <w:sz w:val="24"/>
          <w:szCs w:val="24"/>
        </w:rPr>
      </w:pPr>
    </w:p>
    <w:p w14:paraId="18BE3ACC" w14:textId="5BCA0BA7" w:rsidR="001A48DE" w:rsidRPr="004D5D58" w:rsidRDefault="003C0393" w:rsidP="003C0393">
      <w:pPr>
        <w:widowControl w:val="0"/>
        <w:jc w:val="both"/>
        <w:rPr>
          <w:b/>
          <w:bCs/>
          <w:sz w:val="24"/>
          <w:szCs w:val="24"/>
        </w:rPr>
      </w:pPr>
      <w:r w:rsidRPr="003C0393">
        <w:rPr>
          <w:b/>
          <w:bCs/>
          <w:sz w:val="24"/>
          <w:szCs w:val="24"/>
        </w:rPr>
        <w:t xml:space="preserve">Дата </w:t>
      </w:r>
      <w:r w:rsidR="00981E6F">
        <w:rPr>
          <w:b/>
          <w:bCs/>
          <w:sz w:val="24"/>
          <w:szCs w:val="24"/>
        </w:rPr>
        <w:t>размещени</w:t>
      </w:r>
      <w:r w:rsidRPr="003C0393">
        <w:rPr>
          <w:b/>
          <w:bCs/>
          <w:sz w:val="24"/>
          <w:szCs w:val="24"/>
        </w:rPr>
        <w:t xml:space="preserve">я протокола о признании результатов торговой процедуры: </w:t>
      </w:r>
      <w:r w:rsidR="00D1412E" w:rsidRPr="00D1412E">
        <w:rPr>
          <w:sz w:val="24"/>
          <w:szCs w:val="24"/>
        </w:rPr>
        <w:t xml:space="preserve">«15» ноября </w:t>
      </w:r>
      <w:r w:rsidRPr="003C0393">
        <w:rPr>
          <w:sz w:val="24"/>
          <w:szCs w:val="24"/>
        </w:rPr>
        <w:t>2024.</w:t>
      </w:r>
    </w:p>
    <w:p w14:paraId="0C606EFC" w14:textId="77777777" w:rsidR="001A48DE" w:rsidRDefault="001A48DE" w:rsidP="003C0393">
      <w:pPr>
        <w:widowControl w:val="0"/>
        <w:jc w:val="both"/>
        <w:rPr>
          <w:b/>
          <w:bCs/>
          <w:sz w:val="24"/>
          <w:szCs w:val="24"/>
        </w:rPr>
      </w:pPr>
    </w:p>
    <w:p w14:paraId="79A79869" w14:textId="77777777" w:rsidR="001D176B" w:rsidRPr="003C0393" w:rsidRDefault="001D176B"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Контактное лицо: Бикмухаметова Диана Агабековна.</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3BA25345" w14:textId="77777777" w:rsidR="005611FA" w:rsidRPr="005611FA" w:rsidRDefault="005611FA" w:rsidP="005611FA">
      <w:pPr>
        <w:rPr>
          <w:sz w:val="24"/>
          <w:szCs w:val="24"/>
        </w:rPr>
      </w:pPr>
      <w:r w:rsidRPr="005611FA">
        <w:rPr>
          <w:sz w:val="24"/>
          <w:szCs w:val="24"/>
        </w:rPr>
        <w:t>119034 г. Москва, Гагаринский пер. д.3</w:t>
      </w:r>
    </w:p>
    <w:p w14:paraId="77B030E5" w14:textId="5D560A52" w:rsidR="005611FA" w:rsidRPr="005611FA" w:rsidRDefault="005611FA" w:rsidP="005611FA">
      <w:pPr>
        <w:rPr>
          <w:sz w:val="24"/>
          <w:szCs w:val="24"/>
        </w:rPr>
      </w:pPr>
      <w:r w:rsidRPr="005611FA">
        <w:rPr>
          <w:sz w:val="24"/>
          <w:szCs w:val="24"/>
        </w:rPr>
        <w:t>ИНН 7725114488</w:t>
      </w:r>
      <w:r>
        <w:rPr>
          <w:sz w:val="24"/>
          <w:szCs w:val="24"/>
        </w:rPr>
        <w:t xml:space="preserve">, </w:t>
      </w:r>
      <w:r w:rsidRPr="005611FA">
        <w:rPr>
          <w:sz w:val="24"/>
          <w:szCs w:val="24"/>
        </w:rPr>
        <w:t>КПП 997950001</w:t>
      </w:r>
    </w:p>
    <w:p w14:paraId="24DCE6F7" w14:textId="53015EB4" w:rsidR="00BB3EBB" w:rsidRDefault="005611FA" w:rsidP="005611FA">
      <w:pPr>
        <w:rPr>
          <w:sz w:val="24"/>
          <w:szCs w:val="24"/>
        </w:rPr>
      </w:pPr>
      <w:r w:rsidRPr="005611FA">
        <w:rPr>
          <w:sz w:val="24"/>
          <w:szCs w:val="24"/>
        </w:rPr>
        <w:t>Корреспондентский счет АО «Россельхозбанк» №30101810200000000111 в ГУ Банка России по ЦФО</w:t>
      </w:r>
    </w:p>
    <w:p w14:paraId="32DC5828" w14:textId="77777777" w:rsidR="005611FA" w:rsidRDefault="005611FA" w:rsidP="005611FA">
      <w:pPr>
        <w:rPr>
          <w:sz w:val="24"/>
          <w:szCs w:val="24"/>
        </w:rPr>
      </w:pPr>
    </w:p>
    <w:p w14:paraId="13194E88" w14:textId="22698747" w:rsidR="0051726C" w:rsidRPr="00E90195" w:rsidRDefault="00424E22" w:rsidP="009541A8">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103E2D2C" w14:textId="60B99CD6" w:rsidR="003C0393" w:rsidRDefault="003C0393" w:rsidP="003C0393">
      <w:pPr>
        <w:jc w:val="both"/>
        <w:rPr>
          <w:sz w:val="24"/>
          <w:szCs w:val="24"/>
        </w:rPr>
      </w:pPr>
      <w:r w:rsidRPr="003C0393">
        <w:rPr>
          <w:b/>
          <w:bCs/>
          <w:sz w:val="24"/>
          <w:szCs w:val="24"/>
        </w:rPr>
        <w:t xml:space="preserve">Шаг аукциона «на повышение»: </w:t>
      </w:r>
      <w:r w:rsidR="00D1412E" w:rsidRPr="00D1412E">
        <w:rPr>
          <w:sz w:val="24"/>
          <w:szCs w:val="24"/>
        </w:rPr>
        <w:t>1% от начальной цены продажи</w:t>
      </w:r>
      <w:r w:rsidR="00D1412E">
        <w:rPr>
          <w:sz w:val="24"/>
          <w:szCs w:val="24"/>
        </w:rPr>
        <w:t xml:space="preserve">/ </w:t>
      </w:r>
      <w:r w:rsidR="00D1412E" w:rsidRPr="00D1412E">
        <w:rPr>
          <w:sz w:val="24"/>
          <w:szCs w:val="24"/>
        </w:rPr>
        <w:t xml:space="preserve">1 068 888,00 </w:t>
      </w:r>
      <w:r w:rsidR="00D1412E">
        <w:rPr>
          <w:sz w:val="24"/>
          <w:szCs w:val="24"/>
        </w:rPr>
        <w:t>(один миллион шестьдесят восемь тысяч восемьсот восемьдесят восемь) рублей 00 копеек.</w:t>
      </w:r>
    </w:p>
    <w:p w14:paraId="0529A050" w14:textId="77777777" w:rsidR="001D176B" w:rsidRPr="001D176B" w:rsidRDefault="001D176B" w:rsidP="003C0393">
      <w:pPr>
        <w:jc w:val="both"/>
        <w:rPr>
          <w:sz w:val="24"/>
          <w:szCs w:val="24"/>
        </w:rPr>
      </w:pPr>
    </w:p>
    <w:p w14:paraId="3C57A8F5" w14:textId="118D9C7A" w:rsidR="003C0393" w:rsidRPr="003C0393" w:rsidRDefault="003C0393" w:rsidP="003C0393">
      <w:pPr>
        <w:jc w:val="both"/>
        <w:rPr>
          <w:b/>
          <w:bCs/>
          <w:sz w:val="24"/>
          <w:szCs w:val="24"/>
        </w:rPr>
      </w:pPr>
      <w:r w:rsidRPr="003C0393">
        <w:rPr>
          <w:b/>
          <w:bCs/>
          <w:sz w:val="24"/>
          <w:szCs w:val="24"/>
        </w:rPr>
        <w:lastRenderedPageBreak/>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54EDC2DE" w14:textId="2E32A87E" w:rsidR="001D176B" w:rsidRPr="00BB3EBB" w:rsidRDefault="003C0393" w:rsidP="003C0393">
      <w:pPr>
        <w:jc w:val="both"/>
        <w:rPr>
          <w:sz w:val="24"/>
          <w:szCs w:val="24"/>
        </w:rPr>
      </w:pPr>
      <w:r w:rsidRPr="003C0393">
        <w:rPr>
          <w:b/>
          <w:bCs/>
          <w:sz w:val="24"/>
          <w:szCs w:val="24"/>
        </w:rPr>
        <w:t xml:space="preserve">Размер обеспечения Заявки на участие в Торговой процедуре: </w:t>
      </w:r>
      <w:r w:rsidR="00D1412E">
        <w:rPr>
          <w:sz w:val="24"/>
          <w:szCs w:val="24"/>
        </w:rPr>
        <w:t>500 000 (пятьсот тысяч) рублей 00 копеек.</w:t>
      </w: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1A48DE" w:rsidRPr="001A48DE">
        <w:rPr>
          <w:bCs/>
          <w:sz w:val="24"/>
          <w:szCs w:val="24"/>
          <w:u w:val="single"/>
          <w:lang w:val="en-US"/>
        </w:rPr>
        <w:t>http</w:t>
      </w:r>
      <w:r w:rsidR="001A48DE" w:rsidRPr="001A48DE">
        <w:rPr>
          <w:bCs/>
          <w:sz w:val="24"/>
          <w:szCs w:val="24"/>
          <w:u w:val="single"/>
        </w:rPr>
        <w:t>://</w:t>
      </w:r>
      <w:r w:rsidR="001A48DE" w:rsidRPr="001A48DE">
        <w:rPr>
          <w:bCs/>
          <w:sz w:val="24"/>
          <w:szCs w:val="24"/>
          <w:u w:val="single"/>
          <w:lang w:val="en-US"/>
        </w:rPr>
        <w:t>alfalot</w:t>
      </w:r>
      <w:r w:rsidR="001A48DE" w:rsidRPr="001A48DE">
        <w:rPr>
          <w:bCs/>
          <w:sz w:val="24"/>
          <w:szCs w:val="24"/>
          <w:u w:val="single"/>
        </w:rPr>
        <w:t>.</w:t>
      </w:r>
      <w:r w:rsidR="001A48DE" w:rsidRPr="001A48DE">
        <w:rPr>
          <w:bCs/>
          <w:sz w:val="24"/>
          <w:szCs w:val="24"/>
          <w:u w:val="single"/>
          <w:lang w:val="en-US"/>
        </w:rPr>
        <w:t>ru</w:t>
      </w:r>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6108C7C7"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00D1412E" w:rsidRPr="00D1412E">
        <w:rPr>
          <w:sz w:val="24"/>
          <w:szCs w:val="24"/>
        </w:rPr>
        <w:t xml:space="preserve">не позднее 3 (трех) рабочих </w:t>
      </w:r>
      <w:r w:rsidR="00184FF1" w:rsidRPr="00184FF1">
        <w:rPr>
          <w:sz w:val="24"/>
          <w:szCs w:val="24"/>
        </w:rPr>
        <w:t xml:space="preserve">дней </w:t>
      </w:r>
      <w:r w:rsidRPr="001A48DE">
        <w:rPr>
          <w:sz w:val="24"/>
          <w:szCs w:val="24"/>
        </w:rPr>
        <w:t xml:space="preserve">со дня размещения </w:t>
      </w:r>
      <w:r w:rsidR="00EE7001" w:rsidRPr="00EE7001">
        <w:rPr>
          <w:sz w:val="24"/>
          <w:szCs w:val="24"/>
        </w:rPr>
        <w:t>протокола о признании результатов торговой процедуры</w:t>
      </w:r>
      <w:r w:rsidRPr="001A48DE">
        <w:rPr>
          <w:sz w:val="24"/>
          <w:szCs w:val="24"/>
        </w:rPr>
        <w:t>.</w:t>
      </w:r>
    </w:p>
    <w:p w14:paraId="4C84CD19" w14:textId="77777777" w:rsidR="001A48DE" w:rsidRPr="001A48DE" w:rsidRDefault="001A48DE" w:rsidP="001A48DE">
      <w:pPr>
        <w:widowControl w:val="0"/>
        <w:rPr>
          <w:b/>
          <w:bCs/>
          <w:sz w:val="24"/>
          <w:szCs w:val="24"/>
        </w:rPr>
      </w:pPr>
    </w:p>
    <w:p w14:paraId="4EF4B1FC" w14:textId="3CCE34F7" w:rsidR="00184FF1"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xml:space="preserve">– </w:t>
      </w:r>
      <w:r w:rsidR="00D1412E" w:rsidRPr="00D1412E">
        <w:rPr>
          <w:sz w:val="24"/>
          <w:szCs w:val="24"/>
        </w:rPr>
        <w:t>не более 5 (пяти) рабочих дней с даты заключения договора купли-продажи имущества</w:t>
      </w:r>
      <w:r w:rsidR="001A4322">
        <w:rPr>
          <w:sz w:val="24"/>
          <w:szCs w:val="24"/>
        </w:rPr>
        <w:t xml:space="preserve">, </w:t>
      </w:r>
      <w:r w:rsidRPr="001A48DE">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9639" w:type="dxa"/>
        <w:tblInd w:w="-5" w:type="dxa"/>
        <w:tblLayout w:type="fixed"/>
        <w:tblLook w:val="04A0" w:firstRow="1" w:lastRow="0" w:firstColumn="1" w:lastColumn="0" w:noHBand="0" w:noVBand="1"/>
      </w:tblPr>
      <w:tblGrid>
        <w:gridCol w:w="426"/>
        <w:gridCol w:w="2976"/>
        <w:gridCol w:w="1560"/>
        <w:gridCol w:w="2268"/>
        <w:gridCol w:w="2409"/>
      </w:tblGrid>
      <w:tr w:rsidR="00D1412E" w14:paraId="18C0044B" w14:textId="77777777" w:rsidTr="00D1412E">
        <w:tc>
          <w:tcPr>
            <w:tcW w:w="426" w:type="dxa"/>
            <w:tcBorders>
              <w:top w:val="single" w:sz="4" w:space="0" w:color="auto"/>
              <w:left w:val="single" w:sz="4" w:space="0" w:color="auto"/>
              <w:bottom w:val="single" w:sz="4" w:space="0" w:color="auto"/>
              <w:right w:val="single" w:sz="4" w:space="0" w:color="auto"/>
            </w:tcBorders>
            <w:hideMark/>
          </w:tcPr>
          <w:p w14:paraId="7D85F643" w14:textId="7A169442" w:rsidR="00D1412E" w:rsidRDefault="00D1412E" w:rsidP="00D1412E">
            <w:pPr>
              <w:jc w:val="center"/>
            </w:pPr>
            <w:r>
              <w:rPr>
                <w:sz w:val="18"/>
                <w:szCs w:val="18"/>
              </w:rPr>
              <w:t>№ лота</w:t>
            </w:r>
          </w:p>
        </w:tc>
        <w:tc>
          <w:tcPr>
            <w:tcW w:w="2976" w:type="dxa"/>
            <w:tcBorders>
              <w:top w:val="single" w:sz="4" w:space="0" w:color="auto"/>
              <w:left w:val="single" w:sz="4" w:space="0" w:color="auto"/>
              <w:bottom w:val="single" w:sz="4" w:space="0" w:color="auto"/>
              <w:right w:val="single" w:sz="4" w:space="0" w:color="auto"/>
            </w:tcBorders>
            <w:hideMark/>
          </w:tcPr>
          <w:p w14:paraId="4A016CA1" w14:textId="77777777" w:rsidR="00D1412E" w:rsidRDefault="00D1412E" w:rsidP="00D1412E">
            <w:pPr>
              <w:jc w:val="center"/>
              <w:rPr>
                <w:sz w:val="18"/>
                <w:szCs w:val="18"/>
              </w:rPr>
            </w:pPr>
            <w:r>
              <w:rPr>
                <w:sz w:val="18"/>
                <w:szCs w:val="18"/>
              </w:rPr>
              <w:t>Наименование и средства</w:t>
            </w:r>
          </w:p>
          <w:p w14:paraId="5A7E08A0" w14:textId="33B138A7" w:rsidR="00D1412E" w:rsidRDefault="00D1412E" w:rsidP="00D1412E">
            <w:pPr>
              <w:jc w:val="center"/>
            </w:pPr>
            <w:r>
              <w:rPr>
                <w:sz w:val="18"/>
                <w:szCs w:val="18"/>
              </w:rPr>
              <w:t>идентификации объекта</w:t>
            </w:r>
          </w:p>
        </w:tc>
        <w:tc>
          <w:tcPr>
            <w:tcW w:w="1560" w:type="dxa"/>
            <w:tcBorders>
              <w:top w:val="single" w:sz="4" w:space="0" w:color="auto"/>
              <w:left w:val="single" w:sz="4" w:space="0" w:color="auto"/>
              <w:bottom w:val="single" w:sz="4" w:space="0" w:color="auto"/>
              <w:right w:val="single" w:sz="4" w:space="0" w:color="auto"/>
            </w:tcBorders>
            <w:hideMark/>
          </w:tcPr>
          <w:p w14:paraId="48470B70" w14:textId="77777777" w:rsidR="00D1412E" w:rsidRDefault="00D1412E" w:rsidP="00D1412E">
            <w:pPr>
              <w:jc w:val="center"/>
              <w:rPr>
                <w:sz w:val="18"/>
                <w:szCs w:val="18"/>
              </w:rPr>
            </w:pPr>
            <w:r>
              <w:rPr>
                <w:sz w:val="18"/>
                <w:szCs w:val="18"/>
              </w:rPr>
              <w:t>Начальная цена</w:t>
            </w:r>
          </w:p>
          <w:p w14:paraId="688EA186" w14:textId="77777777" w:rsidR="00D1412E" w:rsidRDefault="00D1412E" w:rsidP="00D1412E">
            <w:pPr>
              <w:jc w:val="center"/>
              <w:rPr>
                <w:sz w:val="18"/>
                <w:szCs w:val="18"/>
              </w:rPr>
            </w:pPr>
            <w:r>
              <w:rPr>
                <w:sz w:val="18"/>
                <w:szCs w:val="18"/>
              </w:rPr>
              <w:t>реализации объекта в</w:t>
            </w:r>
          </w:p>
          <w:p w14:paraId="003C5ED8" w14:textId="42D789B7" w:rsidR="00D1412E" w:rsidRDefault="00D1412E" w:rsidP="00D1412E">
            <w:pPr>
              <w:jc w:val="center"/>
            </w:pPr>
            <w:r>
              <w:rPr>
                <w:sz w:val="18"/>
                <w:szCs w:val="18"/>
              </w:rPr>
              <w:t>т.ч. НДС, руб.</w:t>
            </w:r>
          </w:p>
        </w:tc>
        <w:tc>
          <w:tcPr>
            <w:tcW w:w="2268" w:type="dxa"/>
            <w:tcBorders>
              <w:top w:val="single" w:sz="4" w:space="0" w:color="auto"/>
              <w:left w:val="single" w:sz="4" w:space="0" w:color="auto"/>
              <w:bottom w:val="single" w:sz="4" w:space="0" w:color="auto"/>
              <w:right w:val="single" w:sz="4" w:space="0" w:color="auto"/>
            </w:tcBorders>
            <w:hideMark/>
          </w:tcPr>
          <w:p w14:paraId="456CDB3D" w14:textId="77777777" w:rsidR="00D1412E" w:rsidRDefault="00D1412E" w:rsidP="00D1412E">
            <w:pPr>
              <w:jc w:val="center"/>
              <w:rPr>
                <w:sz w:val="18"/>
                <w:szCs w:val="18"/>
              </w:rPr>
            </w:pPr>
            <w:r>
              <w:rPr>
                <w:sz w:val="18"/>
                <w:szCs w:val="18"/>
              </w:rPr>
              <w:t>Сведения о</w:t>
            </w:r>
          </w:p>
          <w:p w14:paraId="7C237EE9" w14:textId="77777777" w:rsidR="00D1412E" w:rsidRDefault="00D1412E" w:rsidP="00D1412E">
            <w:pPr>
              <w:jc w:val="center"/>
              <w:rPr>
                <w:sz w:val="18"/>
                <w:szCs w:val="18"/>
              </w:rPr>
            </w:pPr>
            <w:r>
              <w:rPr>
                <w:sz w:val="18"/>
                <w:szCs w:val="18"/>
              </w:rPr>
              <w:t>правоустанавливающих</w:t>
            </w:r>
          </w:p>
          <w:p w14:paraId="1E9F5F9B" w14:textId="78C8A2FB" w:rsidR="00D1412E" w:rsidRDefault="00D1412E" w:rsidP="00D1412E">
            <w:pPr>
              <w:jc w:val="center"/>
            </w:pPr>
            <w:r>
              <w:rPr>
                <w:sz w:val="18"/>
                <w:szCs w:val="18"/>
              </w:rPr>
              <w:t>документах</w:t>
            </w:r>
          </w:p>
        </w:tc>
        <w:tc>
          <w:tcPr>
            <w:tcW w:w="2409" w:type="dxa"/>
            <w:tcBorders>
              <w:top w:val="single" w:sz="4" w:space="0" w:color="auto"/>
              <w:left w:val="single" w:sz="4" w:space="0" w:color="auto"/>
              <w:bottom w:val="single" w:sz="4" w:space="0" w:color="auto"/>
              <w:right w:val="single" w:sz="4" w:space="0" w:color="auto"/>
            </w:tcBorders>
            <w:hideMark/>
          </w:tcPr>
          <w:p w14:paraId="5401D64C" w14:textId="77777777" w:rsidR="00D1412E" w:rsidRDefault="00D1412E" w:rsidP="00D1412E">
            <w:pPr>
              <w:jc w:val="center"/>
              <w:rPr>
                <w:sz w:val="18"/>
                <w:szCs w:val="18"/>
              </w:rPr>
            </w:pPr>
            <w:r>
              <w:rPr>
                <w:sz w:val="18"/>
                <w:szCs w:val="18"/>
              </w:rPr>
              <w:t>Сведения об обременениях</w:t>
            </w:r>
          </w:p>
          <w:p w14:paraId="6411C504" w14:textId="6586F5FA" w:rsidR="00D1412E" w:rsidRDefault="00D1412E" w:rsidP="00D1412E">
            <w:pPr>
              <w:jc w:val="center"/>
            </w:pPr>
            <w:r>
              <w:rPr>
                <w:sz w:val="18"/>
                <w:szCs w:val="18"/>
              </w:rPr>
              <w:t>третьих лиц</w:t>
            </w:r>
          </w:p>
        </w:tc>
      </w:tr>
      <w:tr w:rsidR="00D1412E" w14:paraId="60E5F54C" w14:textId="77777777" w:rsidTr="00D1412E">
        <w:tc>
          <w:tcPr>
            <w:tcW w:w="426" w:type="dxa"/>
            <w:tcBorders>
              <w:top w:val="single" w:sz="4" w:space="0" w:color="auto"/>
              <w:left w:val="single" w:sz="4" w:space="0" w:color="auto"/>
              <w:bottom w:val="single" w:sz="4" w:space="0" w:color="auto"/>
              <w:right w:val="single" w:sz="4" w:space="0" w:color="auto"/>
            </w:tcBorders>
            <w:hideMark/>
          </w:tcPr>
          <w:p w14:paraId="197182EC" w14:textId="1C2CAF27" w:rsidR="00D1412E" w:rsidRDefault="00D1412E" w:rsidP="00D1412E">
            <w:pPr>
              <w:jc w:val="center"/>
            </w:pPr>
            <w:r>
              <w:rPr>
                <w:sz w:val="18"/>
                <w:szCs w:val="18"/>
              </w:rPr>
              <w:t>1.</w:t>
            </w:r>
          </w:p>
        </w:tc>
        <w:tc>
          <w:tcPr>
            <w:tcW w:w="2976" w:type="dxa"/>
            <w:tcBorders>
              <w:top w:val="single" w:sz="4" w:space="0" w:color="auto"/>
              <w:left w:val="single" w:sz="4" w:space="0" w:color="auto"/>
              <w:bottom w:val="single" w:sz="4" w:space="0" w:color="auto"/>
              <w:right w:val="single" w:sz="4" w:space="0" w:color="auto"/>
            </w:tcBorders>
          </w:tcPr>
          <w:p w14:paraId="4DB1FCEE" w14:textId="5EB572A5" w:rsidR="00D1412E" w:rsidRDefault="00D1412E" w:rsidP="00D1412E">
            <w:pPr>
              <w:jc w:val="both"/>
            </w:pPr>
            <w:r>
              <w:rPr>
                <w:rFonts w:eastAsiaTheme="minorHAnsi"/>
                <w:bCs/>
                <w:sz w:val="18"/>
                <w:szCs w:val="18"/>
                <w:lang w:eastAsia="en-US"/>
              </w:rPr>
              <w:t>Здание учебно-административное площадью 4 451,7 кв. м., кадастровый №13:23:1113253:99, и земельный участок площадью 19 173 +/- 30 кв. м. категория земель: земли населенных пунктов</w:t>
            </w:r>
            <w:r>
              <w:rPr>
                <w:sz w:val="18"/>
                <w:szCs w:val="18"/>
              </w:rPr>
              <w:t xml:space="preserve">, разрешенное использование: для эксплуатации учебного корпуса, </w:t>
            </w:r>
            <w:r>
              <w:rPr>
                <w:rFonts w:eastAsiaTheme="minorHAnsi"/>
                <w:bCs/>
                <w:sz w:val="18"/>
                <w:szCs w:val="18"/>
                <w:lang w:eastAsia="en-US"/>
              </w:rPr>
              <w:t>кадастровый №13:23:1113253:20, расположенные по адресу: Адрес: Республика Мордовия, г. Саранск, ул. Транспортная, д. 19.</w:t>
            </w:r>
          </w:p>
        </w:tc>
        <w:tc>
          <w:tcPr>
            <w:tcW w:w="1560" w:type="dxa"/>
            <w:tcBorders>
              <w:top w:val="single" w:sz="4" w:space="0" w:color="auto"/>
              <w:left w:val="single" w:sz="4" w:space="0" w:color="auto"/>
              <w:bottom w:val="single" w:sz="4" w:space="0" w:color="auto"/>
              <w:right w:val="single" w:sz="4" w:space="0" w:color="auto"/>
            </w:tcBorders>
            <w:hideMark/>
          </w:tcPr>
          <w:p w14:paraId="40410270" w14:textId="7028FAF0" w:rsidR="00D1412E" w:rsidRDefault="00D1412E" w:rsidP="00D1412E">
            <w:pPr>
              <w:jc w:val="center"/>
            </w:pPr>
            <w:r>
              <w:rPr>
                <w:sz w:val="18"/>
                <w:szCs w:val="18"/>
              </w:rPr>
              <w:t>106 888 800,00</w:t>
            </w:r>
          </w:p>
        </w:tc>
        <w:tc>
          <w:tcPr>
            <w:tcW w:w="2268" w:type="dxa"/>
            <w:tcBorders>
              <w:top w:val="single" w:sz="4" w:space="0" w:color="auto"/>
              <w:left w:val="single" w:sz="4" w:space="0" w:color="auto"/>
              <w:bottom w:val="single" w:sz="4" w:space="0" w:color="auto"/>
              <w:right w:val="single" w:sz="4" w:space="0" w:color="auto"/>
            </w:tcBorders>
            <w:hideMark/>
          </w:tcPr>
          <w:p w14:paraId="1833C8BB" w14:textId="77777777" w:rsidR="00D1412E" w:rsidRDefault="00D1412E" w:rsidP="00D1412E">
            <w:pPr>
              <w:jc w:val="both"/>
              <w:rPr>
                <w:sz w:val="18"/>
                <w:szCs w:val="18"/>
              </w:rPr>
            </w:pPr>
            <w:r>
              <w:rPr>
                <w:sz w:val="18"/>
                <w:szCs w:val="18"/>
              </w:rPr>
              <w:t>Решение Арбитражного суда Республики Мордовия дело № А39-6675/2014 от 15.06.2015</w:t>
            </w:r>
          </w:p>
          <w:p w14:paraId="15A87797" w14:textId="77777777" w:rsidR="00D1412E" w:rsidRDefault="00D1412E" w:rsidP="00D1412E">
            <w:pPr>
              <w:suppressAutoHyphens/>
              <w:jc w:val="both"/>
              <w:rPr>
                <w:sz w:val="18"/>
                <w:szCs w:val="18"/>
                <w:highlight w:val="green"/>
              </w:rPr>
            </w:pPr>
          </w:p>
          <w:p w14:paraId="7B00A488" w14:textId="77777777" w:rsidR="00D1412E" w:rsidRDefault="00D1412E" w:rsidP="00D1412E">
            <w:pPr>
              <w:jc w:val="both"/>
              <w:rPr>
                <w:sz w:val="18"/>
                <w:szCs w:val="18"/>
              </w:rPr>
            </w:pPr>
            <w:r>
              <w:rPr>
                <w:sz w:val="18"/>
                <w:szCs w:val="18"/>
              </w:rPr>
              <w:t>Протокол №389/2 окончания приема и регистрации заявок от 13.02.2020</w:t>
            </w:r>
          </w:p>
          <w:p w14:paraId="62B4FCF3" w14:textId="77777777" w:rsidR="00D1412E" w:rsidRDefault="00D1412E" w:rsidP="00D1412E">
            <w:pPr>
              <w:suppressAutoHyphens/>
              <w:jc w:val="both"/>
              <w:rPr>
                <w:sz w:val="18"/>
                <w:szCs w:val="18"/>
                <w:highlight w:val="green"/>
              </w:rPr>
            </w:pPr>
          </w:p>
          <w:p w14:paraId="5458E6BE" w14:textId="77777777" w:rsidR="00D1412E" w:rsidRDefault="00D1412E" w:rsidP="00D1412E">
            <w:pPr>
              <w:jc w:val="both"/>
              <w:rPr>
                <w:sz w:val="18"/>
                <w:szCs w:val="18"/>
              </w:rPr>
            </w:pPr>
            <w:r>
              <w:rPr>
                <w:sz w:val="18"/>
                <w:szCs w:val="18"/>
              </w:rPr>
              <w:t>Согласие об оставлении нереализованного имущества за собой, №020-39-16/1641 от 04.03.2020</w:t>
            </w:r>
          </w:p>
          <w:p w14:paraId="7198F983" w14:textId="77777777" w:rsidR="00D1412E" w:rsidRDefault="00D1412E" w:rsidP="00D1412E">
            <w:pPr>
              <w:suppressAutoHyphens/>
              <w:jc w:val="both"/>
              <w:rPr>
                <w:sz w:val="18"/>
                <w:szCs w:val="18"/>
                <w:highlight w:val="green"/>
              </w:rPr>
            </w:pPr>
          </w:p>
          <w:p w14:paraId="14A90569" w14:textId="77777777" w:rsidR="00D1412E" w:rsidRDefault="00D1412E" w:rsidP="00D1412E">
            <w:pPr>
              <w:jc w:val="both"/>
              <w:rPr>
                <w:sz w:val="18"/>
                <w:szCs w:val="18"/>
              </w:rPr>
            </w:pPr>
            <w:r>
              <w:rPr>
                <w:sz w:val="18"/>
                <w:szCs w:val="18"/>
              </w:rPr>
              <w:t>Постановление о передаче не реализованного в принудительном порядке имущества должника взыскателю №13028/22/103655 от 20.12.2022</w:t>
            </w:r>
          </w:p>
          <w:p w14:paraId="3341597F" w14:textId="77777777" w:rsidR="00D1412E" w:rsidRDefault="00D1412E" w:rsidP="00D1412E">
            <w:pPr>
              <w:suppressAutoHyphens/>
              <w:jc w:val="both"/>
              <w:rPr>
                <w:sz w:val="18"/>
                <w:szCs w:val="18"/>
                <w:highlight w:val="green"/>
              </w:rPr>
            </w:pPr>
          </w:p>
          <w:p w14:paraId="19076393" w14:textId="6D133A7F" w:rsidR="00D1412E" w:rsidRDefault="00D1412E" w:rsidP="00D1412E">
            <w:pPr>
              <w:jc w:val="both"/>
              <w:rPr>
                <w:i/>
              </w:rPr>
            </w:pPr>
            <w:r>
              <w:rPr>
                <w:sz w:val="18"/>
                <w:szCs w:val="18"/>
              </w:rPr>
              <w:t>Акт о передаче нереализованного имущества должника взыскателю от 20.12.2022</w:t>
            </w:r>
          </w:p>
        </w:tc>
        <w:tc>
          <w:tcPr>
            <w:tcW w:w="2409" w:type="dxa"/>
            <w:tcBorders>
              <w:top w:val="single" w:sz="4" w:space="0" w:color="auto"/>
              <w:left w:val="single" w:sz="4" w:space="0" w:color="auto"/>
              <w:bottom w:val="single" w:sz="4" w:space="0" w:color="auto"/>
              <w:right w:val="single" w:sz="4" w:space="0" w:color="auto"/>
            </w:tcBorders>
          </w:tcPr>
          <w:p w14:paraId="15B8006B" w14:textId="77777777" w:rsidR="00D1412E" w:rsidRDefault="00D1412E" w:rsidP="00D1412E">
            <w:pPr>
              <w:jc w:val="both"/>
              <w:rPr>
                <w:sz w:val="18"/>
                <w:szCs w:val="18"/>
              </w:rPr>
            </w:pPr>
            <w:r>
              <w:rPr>
                <w:sz w:val="18"/>
                <w:szCs w:val="18"/>
              </w:rPr>
              <w:lastRenderedPageBreak/>
              <w:t>Имущество используется третьими лицами по договорам безвозмездного пользования заключенными с Государственным Комитетом по имущественным и земельным отношениям РМ:</w:t>
            </w:r>
          </w:p>
          <w:p w14:paraId="4EF4BA19" w14:textId="77777777" w:rsidR="00D1412E" w:rsidRDefault="00D1412E" w:rsidP="00D1412E">
            <w:pPr>
              <w:suppressAutoHyphens/>
              <w:jc w:val="both"/>
              <w:rPr>
                <w:sz w:val="18"/>
                <w:szCs w:val="18"/>
              </w:rPr>
            </w:pPr>
          </w:p>
          <w:p w14:paraId="1D9437E3" w14:textId="77777777" w:rsidR="00D1412E" w:rsidRDefault="00D1412E" w:rsidP="00D1412E">
            <w:pPr>
              <w:jc w:val="both"/>
              <w:rPr>
                <w:sz w:val="18"/>
                <w:szCs w:val="18"/>
              </w:rPr>
            </w:pPr>
            <w:r>
              <w:rPr>
                <w:sz w:val="18"/>
                <w:szCs w:val="18"/>
              </w:rPr>
              <w:t xml:space="preserve">- ГБУ ДПО РМ «ЦНППМ «Педагог 13.РУ» (ГБУ ДПО РМ «ЦНППМ «Педагог 13.РУ» подан иск в Арбитражный суд РМ дело №А39-4139/2024 о </w:t>
            </w:r>
            <w:r>
              <w:rPr>
                <w:sz w:val="18"/>
                <w:szCs w:val="18"/>
              </w:rPr>
              <w:lastRenderedPageBreak/>
              <w:t>признании расторжения договора безвозмездного пользования недействительным, 26.06.2024 подан встречный иск Банка. 06.09.2024 Арбитражным судом в иске отказано, удовлетворен встречный иск Банка. 03.10.2024 ГБУ ДПО РМ «ЦНППМ «Педагог 13.РУ» подана апелляционная жалоба, заседание не назначено)</w:t>
            </w:r>
          </w:p>
          <w:p w14:paraId="157FBF98" w14:textId="5A30BB08" w:rsidR="00D1412E" w:rsidRDefault="00D1412E" w:rsidP="00D1412E">
            <w:pPr>
              <w:jc w:val="both"/>
              <w:rPr>
                <w:highlight w:val="yellow"/>
              </w:rPr>
            </w:pPr>
            <w:r>
              <w:rPr>
                <w:sz w:val="18"/>
                <w:szCs w:val="18"/>
              </w:rPr>
              <w:br/>
              <w:t>- ГКУ РМ «ЦБ Учреждений образования, подведомственных МО РМ» (Банком подан иск о передаче нежилого помещения и его освобождении в Арбитражный суд РМ дело №А39-4808/2024, заседание назначено на 23.10.2024)</w:t>
            </w:r>
          </w:p>
        </w:tc>
      </w:tr>
    </w:tbl>
    <w:p w14:paraId="3D1D7967" w14:textId="77777777" w:rsidR="009541A8" w:rsidRDefault="009541A8" w:rsidP="00FC2C20">
      <w:pPr>
        <w:ind w:firstLine="709"/>
        <w:jc w:val="both"/>
        <w:rPr>
          <w:sz w:val="24"/>
          <w:szCs w:val="24"/>
        </w:rPr>
      </w:pPr>
    </w:p>
    <w:p w14:paraId="29611A00" w14:textId="3E63A751" w:rsidR="00EE7001" w:rsidRDefault="000B076F" w:rsidP="000C56F8">
      <w:pPr>
        <w:ind w:firstLine="709"/>
        <w:jc w:val="both"/>
        <w:rPr>
          <w:sz w:val="24"/>
          <w:szCs w:val="24"/>
        </w:rPr>
      </w:pPr>
      <w:r w:rsidRPr="00947E71">
        <w:rPr>
          <w:spacing w:val="-2"/>
          <w:sz w:val="24"/>
          <w:szCs w:val="24"/>
        </w:rPr>
        <w:t xml:space="preserve">Ознакомление с лотом: </w:t>
      </w:r>
      <w:r w:rsidR="00D1412E" w:rsidRPr="00D1412E">
        <w:rPr>
          <w:sz w:val="24"/>
          <w:szCs w:val="24"/>
        </w:rPr>
        <w:t>с 15.10.2024 по 08.11.2024 по предварительной заявке. Для осмотра объектов обращаться к представителю собственника имущества Кожаева Наталья Владимировна, главный эксперт Отдела по работе с проблемными активами Мордовского РФ АО «Россельхозбанк», контактный номер телефона 8 (8342) 29-23-06 доб. 1226, +7 (964) 843-73-88, e-mail: KozhaevaNV@mrd.rshb.ru</w:t>
      </w:r>
      <w:r w:rsidR="00D1412E">
        <w:rPr>
          <w:sz w:val="24"/>
          <w:szCs w:val="24"/>
        </w:rPr>
        <w:t>.</w:t>
      </w:r>
    </w:p>
    <w:p w14:paraId="3BAE2024" w14:textId="77777777" w:rsidR="00D1412E" w:rsidRDefault="00D1412E" w:rsidP="000C56F8">
      <w:pPr>
        <w:ind w:firstLine="709"/>
        <w:jc w:val="both"/>
        <w:rPr>
          <w:sz w:val="24"/>
          <w:szCs w:val="24"/>
        </w:rPr>
      </w:pPr>
    </w:p>
    <w:p w14:paraId="54C0BA9F" w14:textId="60052185" w:rsidR="00BA5672" w:rsidRPr="00B30F50" w:rsidRDefault="00BA5672" w:rsidP="00FC2C20">
      <w:pPr>
        <w:ind w:firstLine="709"/>
        <w:jc w:val="center"/>
        <w:rPr>
          <w:b/>
          <w:bCs/>
          <w:sz w:val="24"/>
          <w:szCs w:val="24"/>
        </w:rPr>
      </w:pPr>
      <w:r w:rsidRPr="00B30F50">
        <w:rPr>
          <w:b/>
          <w:bCs/>
          <w:sz w:val="24"/>
          <w:szCs w:val="24"/>
        </w:rPr>
        <w:t>Порядок проведения торговой процедуры:</w:t>
      </w:r>
    </w:p>
    <w:p w14:paraId="00C450B0" w14:textId="74EA1F9B" w:rsidR="00BA5672" w:rsidRPr="00B30F50"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sidRPr="00B30F50">
        <w:rPr>
          <w:sz w:val="24"/>
          <w:szCs w:val="24"/>
        </w:rPr>
        <w:t xml:space="preserve">1.1. Электронный аукцион «на повышение» – форма проведения Торговой процедуры на повышение Начальной цены </w:t>
      </w:r>
      <w:r w:rsidR="000027B7" w:rsidRPr="00B30F50">
        <w:rPr>
          <w:sz w:val="24"/>
          <w:szCs w:val="24"/>
        </w:rPr>
        <w:t>Имущества</w:t>
      </w:r>
      <w:r w:rsidRPr="00B30F50">
        <w:rPr>
          <w:sz w:val="24"/>
          <w:szCs w:val="24"/>
        </w:rPr>
        <w:t xml:space="preserve"> победителем которой признается Претендент, предложивший наиболее высокую цену за </w:t>
      </w:r>
      <w:r w:rsidR="000027B7" w:rsidRPr="00B30F50">
        <w:rPr>
          <w:sz w:val="24"/>
          <w:szCs w:val="24"/>
        </w:rPr>
        <w:t>Имущество</w:t>
      </w:r>
      <w:r w:rsidRPr="00B30F50">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B30F50" w:rsidRDefault="00BA5672" w:rsidP="009D443C">
      <w:pPr>
        <w:pStyle w:val="51"/>
        <w:shd w:val="clear" w:color="auto" w:fill="auto"/>
        <w:tabs>
          <w:tab w:val="left" w:pos="709"/>
        </w:tabs>
        <w:spacing w:after="0" w:line="264" w:lineRule="auto"/>
        <w:ind w:firstLine="709"/>
        <w:jc w:val="both"/>
        <w:rPr>
          <w:sz w:val="24"/>
          <w:szCs w:val="24"/>
        </w:rPr>
      </w:pPr>
      <w:r w:rsidRPr="00B30F50">
        <w:rPr>
          <w:sz w:val="24"/>
          <w:szCs w:val="24"/>
        </w:rPr>
        <w:t>1.2. Со времени публикации на площадке</w:t>
      </w:r>
      <w:r w:rsidRPr="00B30F50">
        <w:rPr>
          <w:sz w:val="17"/>
          <w:szCs w:val="17"/>
        </w:rPr>
        <w:t xml:space="preserve"> </w:t>
      </w:r>
      <w:r w:rsidRPr="00B30F50">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B30F50">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B30F50">
        <w:rPr>
          <w:sz w:val="24"/>
          <w:szCs w:val="24"/>
        </w:rPr>
        <w:t>;</w:t>
      </w:r>
    </w:p>
    <w:p w14:paraId="4F5C0FBC"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 xml:space="preserve">1.3. В течение </w:t>
      </w:r>
      <w:r w:rsidR="00D74A01" w:rsidRPr="00B30F50">
        <w:rPr>
          <w:sz w:val="24"/>
          <w:szCs w:val="24"/>
        </w:rPr>
        <w:t>30</w:t>
      </w:r>
      <w:r w:rsidR="00C51739" w:rsidRPr="00B30F50">
        <w:rPr>
          <w:sz w:val="24"/>
          <w:szCs w:val="24"/>
        </w:rPr>
        <w:t xml:space="preserve"> минут </w:t>
      </w:r>
      <w:r w:rsidRPr="00B30F50">
        <w:rPr>
          <w:sz w:val="24"/>
          <w:szCs w:val="24"/>
        </w:rPr>
        <w:t xml:space="preserve">со времени начала проведения процедуры аукциона «на </w:t>
      </w:r>
      <w:r w:rsidRPr="00B30F50">
        <w:rPr>
          <w:sz w:val="24"/>
          <w:szCs w:val="24"/>
        </w:rPr>
        <w:lastRenderedPageBreak/>
        <w:t xml:space="preserve">повышение» (торгов) </w:t>
      </w:r>
      <w:r w:rsidRPr="00B30F50">
        <w:rPr>
          <w:rFonts w:eastAsiaTheme="minorHAnsi"/>
          <w:sz w:val="24"/>
          <w:szCs w:val="24"/>
        </w:rPr>
        <w:t>участникам</w:t>
      </w:r>
      <w:r w:rsidRPr="00B30F50">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 В случае если в течение указанного времени:</w:t>
      </w:r>
    </w:p>
    <w:p w14:paraId="1CAEDC41" w14:textId="2DFA901C" w:rsidR="00BA5672" w:rsidRPr="00B30F50"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B30F50">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B30F50">
        <w:rPr>
          <w:sz w:val="24"/>
          <w:szCs w:val="24"/>
        </w:rPr>
        <w:t xml:space="preserve">АС Оператора завершает процедуру торгов и переводит извещение в статус торгов – </w:t>
      </w:r>
      <w:r w:rsidRPr="00B30F50">
        <w:rPr>
          <w:color w:val="000000" w:themeColor="text1"/>
          <w:sz w:val="24"/>
          <w:szCs w:val="24"/>
        </w:rPr>
        <w:t>закрыт.</w:t>
      </w:r>
    </w:p>
    <w:p w14:paraId="7B445B70" w14:textId="77777777" w:rsidR="00BA5672" w:rsidRPr="00B30F50"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B30F50">
        <w:rPr>
          <w:sz w:val="24"/>
          <w:szCs w:val="24"/>
        </w:rPr>
        <w:t xml:space="preserve">Предложение о цене Имущества должно подаваться </w:t>
      </w:r>
      <w:r w:rsidRPr="00B30F50">
        <w:t xml:space="preserve">в размере соответствующем шагу </w:t>
      </w:r>
      <w:r w:rsidRPr="00B30F50">
        <w:rPr>
          <w:sz w:val="24"/>
          <w:szCs w:val="24"/>
        </w:rPr>
        <w:t>аукциона «на повышение»</w:t>
      </w:r>
      <w:r w:rsidRPr="00B30F50">
        <w:rPr>
          <w:color w:val="000000" w:themeColor="text1"/>
          <w:sz w:val="24"/>
          <w:szCs w:val="24"/>
        </w:rPr>
        <w:t>.</w:t>
      </w:r>
    </w:p>
    <w:p w14:paraId="0874CFE0"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B30F50"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sidRPr="00B30F50">
        <w:rPr>
          <w:sz w:val="24"/>
          <w:szCs w:val="24"/>
        </w:rPr>
        <w:t xml:space="preserve">1.6 </w:t>
      </w:r>
      <w:r w:rsidRPr="00B30F50">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A431CFA" w14:textId="0820A281" w:rsidR="0029467B" w:rsidRPr="00B30F50" w:rsidRDefault="0029467B" w:rsidP="0029467B">
      <w:pPr>
        <w:ind w:firstLine="708"/>
        <w:jc w:val="both"/>
        <w:rPr>
          <w:sz w:val="24"/>
          <w:szCs w:val="24"/>
        </w:rPr>
      </w:pPr>
      <w:r w:rsidRPr="00B30F50">
        <w:rPr>
          <w:sz w:val="24"/>
          <w:szCs w:val="24"/>
        </w:rPr>
        <w:t>1.8.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1</w:t>
      </w:r>
      <w:r w:rsidR="000111BC" w:rsidRPr="00B30F50">
        <w:rPr>
          <w:sz w:val="24"/>
          <w:szCs w:val="24"/>
        </w:rPr>
        <w:t>.9</w:t>
      </w:r>
      <w:r w:rsidRPr="00B30F50">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B30F50" w:rsidRDefault="00BA5672" w:rsidP="009D443C">
      <w:pPr>
        <w:pStyle w:val="51"/>
        <w:shd w:val="clear" w:color="auto" w:fill="auto"/>
        <w:tabs>
          <w:tab w:val="left" w:pos="1275"/>
        </w:tabs>
        <w:spacing w:after="0" w:line="264" w:lineRule="auto"/>
        <w:ind w:firstLine="709"/>
        <w:jc w:val="both"/>
        <w:rPr>
          <w:sz w:val="24"/>
          <w:szCs w:val="24"/>
        </w:rPr>
      </w:pPr>
      <w:r w:rsidRPr="00B30F50">
        <w:rPr>
          <w:sz w:val="24"/>
          <w:szCs w:val="24"/>
        </w:rPr>
        <w:t>Аукцион «на повышение» признается несостоявшимся в следующих случаях:</w:t>
      </w:r>
    </w:p>
    <w:p w14:paraId="5E4D4C18" w14:textId="77777777" w:rsidR="00BA5672" w:rsidRPr="00B30F50"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B30F50">
        <w:rPr>
          <w:sz w:val="24"/>
          <w:szCs w:val="24"/>
        </w:rPr>
        <w:t>не было подано ни одной заявки на участие, либо ни один из Претендентов не признан участником;</w:t>
      </w:r>
    </w:p>
    <w:p w14:paraId="566D0CFC"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принято решение о признании только одного Претендента участником;</w:t>
      </w:r>
    </w:p>
    <w:p w14:paraId="3097F857"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bookmarkStart w:id="4" w:name="_GoBack"/>
      <w:bookmarkEnd w:id="4"/>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w:t>
      </w:r>
      <w:r w:rsidRPr="00394896">
        <w:rPr>
          <w:sz w:val="24"/>
          <w:szCs w:val="24"/>
        </w:rPr>
        <w:lastRenderedPageBreak/>
        <w:t xml:space="preserve">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711BB788" w:rsidR="00BA5672" w:rsidRPr="00394896" w:rsidRDefault="00BA5672" w:rsidP="00EE7001">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Претенденты перечисляют задато</w:t>
      </w:r>
      <w:r w:rsidR="000C56F8">
        <w:rPr>
          <w:sz w:val="24"/>
          <w:szCs w:val="24"/>
        </w:rPr>
        <w:t>к</w:t>
      </w:r>
      <w:r w:rsidR="00EE7001">
        <w:rPr>
          <w:sz w:val="24"/>
          <w:szCs w:val="24"/>
        </w:rPr>
        <w:t xml:space="preserve"> в размере </w:t>
      </w:r>
      <w:r w:rsidR="00D1412E" w:rsidRPr="00D1412E">
        <w:rPr>
          <w:sz w:val="24"/>
          <w:szCs w:val="24"/>
        </w:rPr>
        <w:t>500 000 (пятьсот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lastRenderedPageBreak/>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уклонится/откажется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37EEF7AA" w14:textId="77777777" w:rsidR="005611FA" w:rsidRDefault="005611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4DF9017B" w14:textId="77777777" w:rsidR="00D33B46" w:rsidRDefault="00D33B46" w:rsidP="00C470A9">
      <w:pPr>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5611FA" w14:paraId="3B41F3E9" w14:textId="77777777" w:rsidTr="005611FA">
        <w:trPr>
          <w:trHeight w:val="416"/>
        </w:trPr>
        <w:tc>
          <w:tcPr>
            <w:tcW w:w="2554" w:type="dxa"/>
            <w:tcBorders>
              <w:top w:val="single" w:sz="4" w:space="0" w:color="auto"/>
              <w:left w:val="single" w:sz="4" w:space="0" w:color="auto"/>
              <w:bottom w:val="single" w:sz="4" w:space="0" w:color="auto"/>
              <w:right w:val="single" w:sz="4" w:space="0" w:color="auto"/>
            </w:tcBorders>
            <w:hideMark/>
          </w:tcPr>
          <w:p w14:paraId="52F8ADFC" w14:textId="77777777" w:rsidR="005611FA" w:rsidRDefault="005611FA">
            <w:pPr>
              <w:autoSpaceDE w:val="0"/>
              <w:autoSpaceDN w:val="0"/>
              <w:adjustRightInd w:val="0"/>
              <w:jc w:val="both"/>
              <w:rPr>
                <w:rFonts w:eastAsia="Calibri"/>
              </w:rPr>
            </w:pPr>
            <w:r>
              <w:rPr>
                <w:rFonts w:eastAsia="Calibri"/>
              </w:rPr>
              <w:t>Особенности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9378599" w14:textId="77777777" w:rsidR="005611FA" w:rsidRDefault="005611FA">
            <w:pPr>
              <w:autoSpaceDE w:val="0"/>
              <w:autoSpaceDN w:val="0"/>
              <w:adjustRightInd w:val="0"/>
              <w:jc w:val="both"/>
              <w:rPr>
                <w:rFonts w:eastAsiaTheme="minorEastAsia"/>
              </w:rPr>
            </w:pPr>
            <w:r>
              <w:t>Торговая процедура в форме аукциона «на повышение» проводится путем</w:t>
            </w:r>
          </w:p>
          <w:p w14:paraId="520D0B62" w14:textId="77777777" w:rsidR="005611FA" w:rsidRDefault="005611FA">
            <w:pPr>
              <w:autoSpaceDE w:val="0"/>
              <w:autoSpaceDN w:val="0"/>
              <w:adjustRightInd w:val="0"/>
              <w:jc w:val="both"/>
            </w:pPr>
            <w:r>
              <w:t>последовательного повышения участниками аукциона начальной цены продажи на величину, равную либо кратную величине «шага аукциона».</w:t>
            </w:r>
          </w:p>
          <w:p w14:paraId="597A8F68" w14:textId="77777777" w:rsidR="005611FA" w:rsidRDefault="005611FA">
            <w:pPr>
              <w:autoSpaceDE w:val="0"/>
              <w:autoSpaceDN w:val="0"/>
              <w:adjustRightInd w:val="0"/>
              <w:jc w:val="both"/>
            </w:pPr>
            <w:r>
              <w:t>Торговая процедура в форме аукциона «на повышение» проводится в дату и</w:t>
            </w:r>
          </w:p>
          <w:p w14:paraId="4DDC7CB2" w14:textId="77777777" w:rsidR="005611FA" w:rsidRDefault="005611FA">
            <w:pPr>
              <w:autoSpaceDE w:val="0"/>
              <w:autoSpaceDN w:val="0"/>
              <w:adjustRightInd w:val="0"/>
              <w:jc w:val="both"/>
            </w:pPr>
            <w:r>
              <w:t>время, указанные в Извещении.</w:t>
            </w:r>
          </w:p>
          <w:p w14:paraId="1EA8926E" w14:textId="77777777" w:rsidR="005611FA" w:rsidRDefault="005611FA">
            <w:pPr>
              <w:autoSpaceDE w:val="0"/>
              <w:autoSpaceDN w:val="0"/>
              <w:adjustRightInd w:val="0"/>
              <w:jc w:val="both"/>
            </w:pPr>
            <w: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440650AA" w14:textId="77777777" w:rsidR="005611FA" w:rsidRDefault="005611FA">
            <w:pPr>
              <w:autoSpaceDE w:val="0"/>
              <w:autoSpaceDN w:val="0"/>
              <w:adjustRightInd w:val="0"/>
              <w:jc w:val="both"/>
            </w:pPr>
            <w:r>
              <w:t>- прием Заявок на участие в Торговой процедуре;</w:t>
            </w:r>
          </w:p>
          <w:p w14:paraId="41516745" w14:textId="77777777" w:rsidR="005611FA" w:rsidRDefault="005611FA">
            <w:pPr>
              <w:autoSpaceDE w:val="0"/>
              <w:autoSpaceDN w:val="0"/>
              <w:adjustRightInd w:val="0"/>
              <w:jc w:val="both"/>
            </w:pPr>
            <w:r>
              <w:t>- прием обеспечения заявки на участие в Торговой процедуре в форме аукциона «на повышение» от Заявителей;</w:t>
            </w:r>
          </w:p>
          <w:p w14:paraId="6AF38FEA" w14:textId="77777777" w:rsidR="005611FA" w:rsidRDefault="005611FA">
            <w:pPr>
              <w:autoSpaceDE w:val="0"/>
              <w:autoSpaceDN w:val="0"/>
              <w:adjustRightInd w:val="0"/>
              <w:jc w:val="both"/>
            </w:pPr>
            <w:r>
              <w:t>- рассмотрение заявок, определение состава Претендентов на участие в Торговой процедуре в форме аукциона «на повышение»;</w:t>
            </w:r>
          </w:p>
          <w:p w14:paraId="1CE4F9A6" w14:textId="77777777" w:rsidR="005611FA" w:rsidRDefault="005611FA">
            <w:pPr>
              <w:autoSpaceDE w:val="0"/>
              <w:autoSpaceDN w:val="0"/>
              <w:adjustRightInd w:val="0"/>
              <w:jc w:val="both"/>
            </w:pPr>
            <w:r>
              <w:t>- подведение итогов Торговой процедуры в форме аукциона «на повышение»,</w:t>
            </w:r>
          </w:p>
          <w:p w14:paraId="174A0FAD" w14:textId="77777777" w:rsidR="005611FA" w:rsidRDefault="005611FA">
            <w:pPr>
              <w:autoSpaceDE w:val="0"/>
              <w:autoSpaceDN w:val="0"/>
              <w:adjustRightInd w:val="0"/>
              <w:jc w:val="both"/>
            </w:pPr>
            <w:r>
              <w:t>размещение протокола об итогах аукциона «на повышение»;</w:t>
            </w:r>
          </w:p>
          <w:p w14:paraId="0F48266F" w14:textId="77777777" w:rsidR="005611FA" w:rsidRDefault="005611FA">
            <w:pPr>
              <w:autoSpaceDE w:val="0"/>
              <w:autoSpaceDN w:val="0"/>
              <w:adjustRightInd w:val="0"/>
              <w:jc w:val="both"/>
            </w:pPr>
            <w:r>
              <w:t>- возврат обеспечения заявки на участие в Торговой процедуре проигравшим</w:t>
            </w:r>
          </w:p>
          <w:p w14:paraId="5DF727D8" w14:textId="77777777" w:rsidR="005611FA" w:rsidRDefault="005611FA">
            <w:pPr>
              <w:autoSpaceDE w:val="0"/>
              <w:autoSpaceDN w:val="0"/>
              <w:adjustRightInd w:val="0"/>
              <w:jc w:val="both"/>
            </w:pPr>
            <w:r>
              <w:t>Претендентам;</w:t>
            </w:r>
          </w:p>
          <w:p w14:paraId="6DC07A29" w14:textId="77777777" w:rsidR="005611FA" w:rsidRDefault="005611FA">
            <w:pPr>
              <w:autoSpaceDE w:val="0"/>
              <w:autoSpaceDN w:val="0"/>
              <w:adjustRightInd w:val="0"/>
              <w:jc w:val="both"/>
            </w:pPr>
            <w:r>
              <w:t>- перечисление суммы обеспечения заявки на участие в Торговой процедуре</w:t>
            </w:r>
          </w:p>
          <w:p w14:paraId="0C1B57EE" w14:textId="77777777" w:rsidR="005611FA" w:rsidRDefault="005611FA">
            <w:pPr>
              <w:autoSpaceDE w:val="0"/>
              <w:autoSpaceDN w:val="0"/>
              <w:adjustRightInd w:val="0"/>
              <w:jc w:val="both"/>
            </w:pPr>
            <w:r>
              <w:t>Победителя аукциона «на повышение» Принципалу;</w:t>
            </w:r>
          </w:p>
          <w:p w14:paraId="100901A2" w14:textId="77777777" w:rsidR="005611FA" w:rsidRDefault="005611FA">
            <w:pPr>
              <w:autoSpaceDE w:val="0"/>
              <w:autoSpaceDN w:val="0"/>
              <w:adjustRightInd w:val="0"/>
              <w:jc w:val="both"/>
            </w:pPr>
            <w:r>
              <w:t>- иные мероприятия, предусмотренные настоящим Договором и</w:t>
            </w:r>
          </w:p>
          <w:p w14:paraId="449051DC" w14:textId="77777777" w:rsidR="005611FA" w:rsidRDefault="005611FA">
            <w:pPr>
              <w:autoSpaceDE w:val="0"/>
              <w:autoSpaceDN w:val="0"/>
              <w:adjustRightInd w:val="0"/>
              <w:jc w:val="both"/>
            </w:pPr>
            <w:r>
              <w:t>законодательством Российской Федерации.</w:t>
            </w:r>
          </w:p>
          <w:p w14:paraId="6FA12CA0" w14:textId="77777777" w:rsidR="005611FA" w:rsidRDefault="005611FA">
            <w:pPr>
              <w:autoSpaceDE w:val="0"/>
              <w:autoSpaceDN w:val="0"/>
              <w:adjustRightInd w:val="0"/>
              <w:jc w:val="both"/>
            </w:pPr>
            <w:r>
              <w:t>Аукцион «на повышение» признается несостоявшимся в следующих случаях:</w:t>
            </w:r>
          </w:p>
          <w:p w14:paraId="1539EFD0" w14:textId="77777777" w:rsidR="005611FA" w:rsidRDefault="005611FA">
            <w:pPr>
              <w:autoSpaceDE w:val="0"/>
              <w:autoSpaceDN w:val="0"/>
              <w:adjustRightInd w:val="0"/>
              <w:jc w:val="both"/>
            </w:pPr>
            <w:r>
              <w:t>- не было подано ни одной заявки на участие либо ни один из Заявителей не</w:t>
            </w:r>
          </w:p>
          <w:p w14:paraId="6AB1B170" w14:textId="77777777" w:rsidR="005611FA" w:rsidRDefault="005611FA">
            <w:pPr>
              <w:autoSpaceDE w:val="0"/>
              <w:autoSpaceDN w:val="0"/>
              <w:adjustRightInd w:val="0"/>
              <w:jc w:val="both"/>
            </w:pPr>
            <w:r>
              <w:t>признан участником аукциона;</w:t>
            </w:r>
          </w:p>
          <w:p w14:paraId="3DF0FC57" w14:textId="77777777" w:rsidR="005611FA" w:rsidRDefault="005611FA">
            <w:pPr>
              <w:autoSpaceDE w:val="0"/>
              <w:autoSpaceDN w:val="0"/>
              <w:adjustRightInd w:val="0"/>
              <w:jc w:val="both"/>
            </w:pPr>
            <w:r>
              <w:t>- принято решение о признании только одного Заявителя участником аукциона;</w:t>
            </w:r>
          </w:p>
          <w:p w14:paraId="610D6999" w14:textId="77777777" w:rsidR="005611FA" w:rsidRDefault="005611FA">
            <w:pPr>
              <w:autoSpaceDE w:val="0"/>
              <w:autoSpaceDN w:val="0"/>
              <w:adjustRightInd w:val="0"/>
              <w:jc w:val="both"/>
            </w:pPr>
            <w:r>
              <w:t>- ни один из Претендентов не сделал предложение о приобретении объекта по</w:t>
            </w:r>
          </w:p>
          <w:p w14:paraId="5A99042C" w14:textId="77777777" w:rsidR="005611FA" w:rsidRDefault="005611FA">
            <w:pPr>
              <w:tabs>
                <w:tab w:val="left" w:pos="29"/>
              </w:tabs>
              <w:autoSpaceDE w:val="0"/>
              <w:autoSpaceDN w:val="0"/>
              <w:adjustRightInd w:val="0"/>
              <w:ind w:firstLine="29"/>
              <w:jc w:val="both"/>
              <w:rPr>
                <w:rFonts w:eastAsia="Calibri"/>
              </w:rPr>
            </w:pPr>
            <w:r>
              <w:t>начальной цене продажи.</w:t>
            </w:r>
          </w:p>
        </w:tc>
      </w:tr>
      <w:tr w:rsidR="005611FA" w14:paraId="4E99DE33" w14:textId="77777777" w:rsidTr="005611FA">
        <w:tc>
          <w:tcPr>
            <w:tcW w:w="2554" w:type="dxa"/>
            <w:tcBorders>
              <w:top w:val="single" w:sz="4" w:space="0" w:color="auto"/>
              <w:left w:val="single" w:sz="4" w:space="0" w:color="auto"/>
              <w:bottom w:val="single" w:sz="4" w:space="0" w:color="auto"/>
              <w:right w:val="single" w:sz="4" w:space="0" w:color="auto"/>
            </w:tcBorders>
            <w:hideMark/>
          </w:tcPr>
          <w:p w14:paraId="6C370902" w14:textId="77777777" w:rsidR="005611FA" w:rsidRDefault="005611FA">
            <w:pPr>
              <w:autoSpaceDE w:val="0"/>
              <w:autoSpaceDN w:val="0"/>
              <w:adjustRightInd w:val="0"/>
              <w:jc w:val="both"/>
              <w:rPr>
                <w:rFonts w:eastAsia="Calibri"/>
                <w:b/>
              </w:rPr>
            </w:pPr>
            <w:r>
              <w:rPr>
                <w:rFonts w:eastAsia="Calibri"/>
              </w:rPr>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166189FD" w14:textId="77777777" w:rsidR="005611FA" w:rsidRDefault="005611FA">
            <w:pPr>
              <w:autoSpaceDE w:val="0"/>
              <w:autoSpaceDN w:val="0"/>
              <w:adjustRightInd w:val="0"/>
              <w:jc w:val="both"/>
              <w:rPr>
                <w:rFonts w:eastAsiaTheme="minorEastAsia"/>
              </w:rPr>
            </w:pPr>
            <w:r>
              <w:t>Не менее чем за 30 (тридцать) календарных дней до объявленной даты</w:t>
            </w:r>
          </w:p>
          <w:p w14:paraId="36F776EB" w14:textId="77777777" w:rsidR="005611FA" w:rsidRDefault="005611FA">
            <w:pPr>
              <w:tabs>
                <w:tab w:val="left" w:pos="0"/>
                <w:tab w:val="left" w:pos="1276"/>
              </w:tabs>
              <w:suppressAutoHyphens/>
              <w:autoSpaceDE w:val="0"/>
              <w:autoSpaceDN w:val="0"/>
              <w:adjustRightInd w:val="0"/>
              <w:jc w:val="both"/>
              <w:outlineLvl w:val="1"/>
            </w:pPr>
            <w:r>
              <w:t>проведения Торговой процедуры в форме аукциона «на повышение».</w:t>
            </w:r>
          </w:p>
        </w:tc>
      </w:tr>
      <w:tr w:rsidR="005611FA" w14:paraId="66E7F9C6" w14:textId="77777777" w:rsidTr="005611FA">
        <w:trPr>
          <w:trHeight w:val="674"/>
        </w:trPr>
        <w:tc>
          <w:tcPr>
            <w:tcW w:w="2554" w:type="dxa"/>
            <w:tcBorders>
              <w:top w:val="single" w:sz="4" w:space="0" w:color="auto"/>
              <w:left w:val="single" w:sz="4" w:space="0" w:color="auto"/>
              <w:bottom w:val="single" w:sz="4" w:space="0" w:color="auto"/>
              <w:right w:val="single" w:sz="4" w:space="0" w:color="auto"/>
            </w:tcBorders>
            <w:hideMark/>
          </w:tcPr>
          <w:p w14:paraId="7FEE39A4" w14:textId="77777777" w:rsidR="005611FA" w:rsidRDefault="005611FA">
            <w:pPr>
              <w:autoSpaceDE w:val="0"/>
              <w:autoSpaceDN w:val="0"/>
              <w:adjustRightInd w:val="0"/>
              <w:jc w:val="both"/>
              <w:rPr>
                <w:rFonts w:eastAsia="Calibri"/>
              </w:rPr>
            </w:pPr>
            <w:r>
              <w:rPr>
                <w:rFonts w:eastAsia="Calibri"/>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71265717" w14:textId="77777777" w:rsidR="005611FA" w:rsidRDefault="005611FA">
            <w:pPr>
              <w:tabs>
                <w:tab w:val="left" w:pos="0"/>
                <w:tab w:val="left" w:pos="1134"/>
              </w:tabs>
              <w:suppressAutoHyphens/>
              <w:autoSpaceDE w:val="0"/>
              <w:autoSpaceDN w:val="0"/>
              <w:adjustRightInd w:val="0"/>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611FA" w14:paraId="100FDFFA"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6C661AD6" w14:textId="77777777" w:rsidR="005611FA" w:rsidRDefault="005611FA">
            <w:pPr>
              <w:autoSpaceDE w:val="0"/>
              <w:autoSpaceDN w:val="0"/>
              <w:adjustRightInd w:val="0"/>
              <w:jc w:val="both"/>
              <w:rPr>
                <w:rFonts w:eastAsia="Calibri"/>
                <w:b/>
              </w:rPr>
            </w:pPr>
            <w:r>
              <w:rPr>
                <w:rFonts w:eastAsia="Calibri"/>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242071E4" w14:textId="77777777" w:rsidR="005611FA" w:rsidRDefault="005611FA">
            <w:pPr>
              <w:autoSpaceDE w:val="0"/>
              <w:autoSpaceDN w:val="0"/>
              <w:adjustRightInd w:val="0"/>
              <w:jc w:val="both"/>
              <w:rPr>
                <w:rFonts w:eastAsiaTheme="minorEastAsia"/>
              </w:rPr>
            </w:pPr>
            <w:r>
              <w:t>Общая продолжительность приема Заявок на участие в Торговых процедурах</w:t>
            </w:r>
          </w:p>
          <w:p w14:paraId="0BBDEBE8" w14:textId="77777777" w:rsidR="005611FA" w:rsidRDefault="005611FA">
            <w:pPr>
              <w:autoSpaceDE w:val="0"/>
              <w:autoSpaceDN w:val="0"/>
              <w:adjustRightInd w:val="0"/>
              <w:jc w:val="both"/>
              <w:rPr>
                <w:rFonts w:eastAsia="Calibri"/>
                <w:b/>
              </w:rPr>
            </w:pPr>
            <w: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5611FA" w14:paraId="4B7E62EE"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4C10323E" w14:textId="77777777" w:rsidR="005611FA" w:rsidRDefault="005611FA">
            <w:pPr>
              <w:autoSpaceDE w:val="0"/>
              <w:autoSpaceDN w:val="0"/>
              <w:adjustRightInd w:val="0"/>
              <w:jc w:val="both"/>
              <w:rPr>
                <w:rFonts w:eastAsia="Calibri"/>
              </w:rPr>
            </w:pPr>
            <w:r>
              <w:rPr>
                <w:rFonts w:eastAsia="Calibri"/>
              </w:rPr>
              <w:t xml:space="preserve">Перечень документов, прилагаемых к Заявке на </w:t>
            </w:r>
            <w:r>
              <w:rPr>
                <w:rFonts w:eastAsia="Calibri"/>
              </w:rPr>
              <w:lastRenderedPageBreak/>
              <w:t>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282EACDE" w14:textId="77777777" w:rsidR="00C532CF" w:rsidRPr="00C532CF" w:rsidRDefault="00C532CF" w:rsidP="00C532CF">
            <w:pPr>
              <w:widowControl w:val="0"/>
              <w:ind w:firstLine="33"/>
              <w:jc w:val="both"/>
              <w:rPr>
                <w:rFonts w:eastAsia="Calibri"/>
                <w:b/>
              </w:rPr>
            </w:pPr>
            <w:bookmarkStart w:id="8" w:name="OLE_LINK126"/>
            <w:bookmarkStart w:id="9" w:name="OLE_LINK125"/>
            <w:bookmarkStart w:id="10" w:name="OLE_LINK63"/>
            <w:bookmarkStart w:id="11" w:name="OLE_LINK124"/>
            <w:bookmarkStart w:id="12" w:name="OLE_LINK123"/>
            <w:r w:rsidRPr="00C532CF">
              <w:rPr>
                <w:rFonts w:eastAsia="Calibri"/>
                <w:b/>
              </w:rPr>
              <w:lastRenderedPageBreak/>
              <w:t>1. Общие:</w:t>
            </w:r>
          </w:p>
          <w:p w14:paraId="21AA7A6C" w14:textId="77777777" w:rsidR="00C532CF" w:rsidRPr="00C532CF" w:rsidRDefault="00C532CF" w:rsidP="00C532CF">
            <w:pPr>
              <w:widowControl w:val="0"/>
              <w:ind w:firstLine="33"/>
              <w:jc w:val="both"/>
              <w:rPr>
                <w:rFonts w:eastAsia="Calibri"/>
              </w:rPr>
            </w:pPr>
            <w:r w:rsidRPr="00C532CF">
              <w:rPr>
                <w:rFonts w:eastAsia="Calibri"/>
              </w:rPr>
              <w:t>- Договор об обеспечении заявки на участие в Торговой процедуре;</w:t>
            </w:r>
          </w:p>
          <w:p w14:paraId="2427366F" w14:textId="77777777" w:rsidR="00C532CF" w:rsidRPr="00C532CF" w:rsidRDefault="00C532CF" w:rsidP="00C532CF">
            <w:pPr>
              <w:widowControl w:val="0"/>
              <w:ind w:firstLine="33"/>
              <w:jc w:val="both"/>
              <w:rPr>
                <w:rFonts w:eastAsia="Calibri"/>
              </w:rPr>
            </w:pPr>
            <w:r w:rsidRPr="00C532CF">
              <w:rPr>
                <w:rFonts w:eastAsia="Calibri"/>
              </w:rPr>
              <w:t xml:space="preserve">- платежный документ, подтверждающий внесение обеспечения заявки на </w:t>
            </w:r>
            <w:r w:rsidRPr="00C532CF">
              <w:rPr>
                <w:rFonts w:eastAsia="Calibri"/>
              </w:rPr>
              <w:lastRenderedPageBreak/>
              <w:t>участие в Торговой процедуре на основании Договора об обеспечении заявки на участие в Торговой процедуре с отметкой банка;</w:t>
            </w:r>
          </w:p>
          <w:p w14:paraId="0F6018D1" w14:textId="77777777" w:rsidR="00C532CF" w:rsidRPr="00C532CF" w:rsidRDefault="00C532CF" w:rsidP="00C532CF">
            <w:pPr>
              <w:widowControl w:val="0"/>
              <w:ind w:firstLine="33"/>
              <w:jc w:val="both"/>
              <w:rPr>
                <w:rFonts w:eastAsia="Calibri"/>
              </w:rPr>
            </w:pPr>
            <w:r w:rsidRPr="00C532CF">
              <w:rPr>
                <w:rFonts w:eastAsia="Calibri"/>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74A4D141" w14:textId="77777777" w:rsidR="00C532CF" w:rsidRPr="00C532CF" w:rsidRDefault="00C532CF" w:rsidP="00C532CF">
            <w:pPr>
              <w:widowControl w:val="0"/>
              <w:ind w:firstLine="33"/>
              <w:jc w:val="both"/>
              <w:rPr>
                <w:rFonts w:eastAsia="Calibri"/>
              </w:rPr>
            </w:pPr>
            <w:r w:rsidRPr="00C532CF">
              <w:rPr>
                <w:rFonts w:eastAsia="Calibri"/>
              </w:rPr>
              <w:t>- документы, необходимые для оценки Принципалом финансового состояния</w:t>
            </w:r>
          </w:p>
          <w:p w14:paraId="71FCA7D1" w14:textId="77777777" w:rsidR="00C532CF" w:rsidRPr="00C532CF" w:rsidRDefault="00C532CF" w:rsidP="00C532CF">
            <w:pPr>
              <w:widowControl w:val="0"/>
              <w:ind w:firstLine="33"/>
              <w:jc w:val="both"/>
              <w:rPr>
                <w:rFonts w:eastAsia="Calibri"/>
              </w:rPr>
            </w:pPr>
            <w:r w:rsidRPr="00C532CF">
              <w:rPr>
                <w:rFonts w:eastAsia="Calibri"/>
              </w:rPr>
              <w:t>Заявителя (физического лица, юридического лица, индивидуального предпринимателя);</w:t>
            </w:r>
          </w:p>
          <w:p w14:paraId="04BEEAD9" w14:textId="77777777" w:rsidR="00C532CF" w:rsidRPr="00C532CF" w:rsidRDefault="00C532CF" w:rsidP="00C532CF">
            <w:pPr>
              <w:widowControl w:val="0"/>
              <w:ind w:firstLine="33"/>
              <w:jc w:val="both"/>
              <w:rPr>
                <w:rFonts w:eastAsia="Calibri"/>
              </w:rPr>
            </w:pPr>
            <w:r w:rsidRPr="00C532CF">
              <w:rPr>
                <w:rFonts w:eastAsia="Calibri"/>
              </w:rPr>
              <w:t>- Согласие на обработку персональных данных (Приложение 2 к Торговой документации);</w:t>
            </w:r>
          </w:p>
          <w:p w14:paraId="2B444C4B" w14:textId="77777777" w:rsidR="00C532CF" w:rsidRPr="00C532CF" w:rsidRDefault="00C532CF" w:rsidP="00C532CF">
            <w:pPr>
              <w:widowControl w:val="0"/>
              <w:ind w:firstLine="33"/>
              <w:jc w:val="both"/>
              <w:rPr>
                <w:rFonts w:eastAsia="Calibri"/>
              </w:rPr>
            </w:pPr>
            <w:r w:rsidRPr="00C532CF">
              <w:rPr>
                <w:rFonts w:eastAsia="Calibri"/>
              </w:rPr>
              <w:t>- опись документов.</w:t>
            </w:r>
          </w:p>
          <w:p w14:paraId="762F9B54" w14:textId="77777777" w:rsidR="00C532CF" w:rsidRPr="00C532CF" w:rsidRDefault="00C532CF" w:rsidP="00C532CF">
            <w:pPr>
              <w:widowControl w:val="0"/>
              <w:ind w:firstLine="33"/>
              <w:jc w:val="both"/>
              <w:rPr>
                <w:rFonts w:eastAsia="Calibri"/>
              </w:rPr>
            </w:pPr>
          </w:p>
          <w:p w14:paraId="1B66EDAA" w14:textId="77777777" w:rsidR="00C532CF" w:rsidRPr="00C532CF" w:rsidRDefault="00C532CF" w:rsidP="00C532CF">
            <w:pPr>
              <w:widowControl w:val="0"/>
              <w:ind w:firstLine="33"/>
              <w:jc w:val="both"/>
              <w:rPr>
                <w:rFonts w:eastAsia="Calibri"/>
              </w:rPr>
            </w:pPr>
            <w:r w:rsidRPr="00C532CF">
              <w:rPr>
                <w:rFonts w:eastAsia="Calibri"/>
                <w:b/>
              </w:rPr>
              <w:t>1.1. Физические лица</w:t>
            </w:r>
            <w:r w:rsidRPr="00C532CF">
              <w:rPr>
                <w:rFonts w:eastAsia="Calibri"/>
              </w:rPr>
              <w:t xml:space="preserve"> дополнительно представляют:</w:t>
            </w:r>
          </w:p>
          <w:p w14:paraId="56B847E2" w14:textId="77777777" w:rsidR="00C532CF" w:rsidRPr="00C532CF" w:rsidRDefault="00C532CF" w:rsidP="00C532CF">
            <w:pPr>
              <w:widowControl w:val="0"/>
              <w:ind w:firstLine="33"/>
              <w:jc w:val="both"/>
              <w:rPr>
                <w:rFonts w:eastAsia="Calibri"/>
              </w:rPr>
            </w:pPr>
            <w:r w:rsidRPr="00C532CF">
              <w:rPr>
                <w:rFonts w:eastAsia="Calibri"/>
              </w:rPr>
              <w:t>- нотариально удостоверенное согласие супруга на совершение сделки в случаях, предусмотренных законодательством Российской Федерации.</w:t>
            </w:r>
          </w:p>
          <w:p w14:paraId="76AA7A9F" w14:textId="77777777" w:rsidR="00C532CF" w:rsidRPr="00C532CF" w:rsidRDefault="00C532CF" w:rsidP="00C532CF">
            <w:pPr>
              <w:widowControl w:val="0"/>
              <w:ind w:firstLine="33"/>
              <w:jc w:val="both"/>
              <w:rPr>
                <w:rFonts w:eastAsia="Calibri"/>
              </w:rPr>
            </w:pPr>
            <w:r w:rsidRPr="00C532CF">
              <w:rPr>
                <w:rFonts w:eastAsia="Calibri"/>
                <w:b/>
              </w:rPr>
              <w:t>1.2. Индивидуальные предприниматели</w:t>
            </w:r>
            <w:r w:rsidRPr="00C532CF">
              <w:rPr>
                <w:rFonts w:eastAsia="Calibri"/>
              </w:rPr>
              <w:t xml:space="preserve"> представляют:</w:t>
            </w:r>
          </w:p>
          <w:p w14:paraId="052F1795" w14:textId="77777777" w:rsidR="00C532CF" w:rsidRPr="00C532CF" w:rsidRDefault="00C532CF" w:rsidP="00C532CF">
            <w:pPr>
              <w:widowControl w:val="0"/>
              <w:ind w:firstLine="33"/>
              <w:jc w:val="both"/>
              <w:rPr>
                <w:rFonts w:eastAsia="Calibri"/>
              </w:rPr>
            </w:pPr>
            <w:r w:rsidRPr="00C532CF">
              <w:rPr>
                <w:rFonts w:eastAsia="Calibri"/>
              </w:rPr>
              <w:t>- копии всех листов документа, удостоверяющего личность;</w:t>
            </w:r>
          </w:p>
          <w:p w14:paraId="7AA85F4E" w14:textId="77777777" w:rsidR="00C532CF" w:rsidRPr="00C532CF" w:rsidRDefault="00C532CF" w:rsidP="00C532CF">
            <w:pPr>
              <w:widowControl w:val="0"/>
              <w:ind w:firstLine="33"/>
              <w:jc w:val="both"/>
              <w:rPr>
                <w:rFonts w:eastAsia="Calibri"/>
              </w:rPr>
            </w:pPr>
            <w:r w:rsidRPr="00C532CF">
              <w:rPr>
                <w:rFonts w:eastAsia="Calibri"/>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85D2BAC" w14:textId="77777777" w:rsidR="00C532CF" w:rsidRPr="00C532CF" w:rsidRDefault="00C532CF" w:rsidP="00C532CF">
            <w:pPr>
              <w:widowControl w:val="0"/>
              <w:ind w:firstLine="33"/>
              <w:jc w:val="both"/>
              <w:rPr>
                <w:rFonts w:eastAsia="Calibri"/>
              </w:rPr>
            </w:pPr>
            <w:r w:rsidRPr="00C532CF">
              <w:rPr>
                <w:rFonts w:eastAsia="Calibri"/>
              </w:rPr>
              <w:t>- копии свидетельства о постановке на налоговый учет;</w:t>
            </w:r>
          </w:p>
          <w:p w14:paraId="19613489" w14:textId="77777777" w:rsidR="00C532CF" w:rsidRPr="00C532CF" w:rsidRDefault="00C532CF" w:rsidP="00C532CF">
            <w:pPr>
              <w:widowControl w:val="0"/>
              <w:ind w:firstLine="33"/>
              <w:jc w:val="both"/>
              <w:rPr>
                <w:rFonts w:eastAsia="Calibri"/>
              </w:rPr>
            </w:pPr>
            <w:r w:rsidRPr="00C532CF">
              <w:rPr>
                <w:rFonts w:eastAsia="Calibri"/>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1293773" w14:textId="77777777" w:rsidR="00C532CF" w:rsidRPr="00C532CF" w:rsidRDefault="00C532CF" w:rsidP="00C532CF">
            <w:pPr>
              <w:widowControl w:val="0"/>
              <w:ind w:firstLine="33"/>
              <w:jc w:val="both"/>
              <w:rPr>
                <w:rFonts w:eastAsia="Calibri"/>
              </w:rPr>
            </w:pPr>
            <w:r w:rsidRPr="00C532CF">
              <w:rPr>
                <w:rFonts w:eastAsia="Calibri"/>
                <w:b/>
              </w:rPr>
              <w:t>1.3. Юридические лица</w:t>
            </w:r>
            <w:r w:rsidRPr="00C532CF">
              <w:rPr>
                <w:rFonts w:eastAsia="Calibri"/>
              </w:rPr>
              <w:t xml:space="preserve"> представляют:</w:t>
            </w:r>
          </w:p>
          <w:p w14:paraId="6540FBC9" w14:textId="77777777" w:rsidR="00C532CF" w:rsidRPr="00C532CF" w:rsidRDefault="00C532CF" w:rsidP="00C532CF">
            <w:pPr>
              <w:widowControl w:val="0"/>
              <w:ind w:firstLine="33"/>
              <w:jc w:val="both"/>
              <w:rPr>
                <w:rFonts w:eastAsia="Calibri"/>
              </w:rPr>
            </w:pPr>
            <w:r w:rsidRPr="00C532CF">
              <w:rPr>
                <w:rFonts w:eastAsia="Calibri"/>
              </w:rPr>
              <w:t>- нотариально удостоверенные копии учредительных и правоустанавливающих</w:t>
            </w:r>
          </w:p>
          <w:p w14:paraId="09083307" w14:textId="77777777" w:rsidR="00C532CF" w:rsidRPr="00C532CF" w:rsidRDefault="00C532CF" w:rsidP="00C532CF">
            <w:pPr>
              <w:widowControl w:val="0"/>
              <w:ind w:firstLine="33"/>
              <w:jc w:val="both"/>
              <w:rPr>
                <w:rFonts w:eastAsia="Calibri"/>
              </w:rPr>
            </w:pPr>
            <w:r w:rsidRPr="00C532CF">
              <w:rPr>
                <w:rFonts w:eastAsia="Calibri"/>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A9A4154" w14:textId="77777777" w:rsidR="00C532CF" w:rsidRPr="00C532CF" w:rsidRDefault="00C532CF" w:rsidP="00C532CF">
            <w:pPr>
              <w:widowControl w:val="0"/>
              <w:ind w:firstLine="33"/>
              <w:jc w:val="both"/>
              <w:rPr>
                <w:rFonts w:eastAsia="Calibri"/>
              </w:rPr>
            </w:pPr>
            <w:r w:rsidRPr="00C532CF">
              <w:rPr>
                <w:rFonts w:eastAsia="Calibri"/>
              </w:rPr>
              <w:t>- нотариально удостоверенную копию свидетельства о государственной регистрации юридического лица;</w:t>
            </w:r>
          </w:p>
          <w:p w14:paraId="2AC8E652" w14:textId="77777777" w:rsidR="00C532CF" w:rsidRPr="00C532CF" w:rsidRDefault="00C532CF" w:rsidP="00C532CF">
            <w:pPr>
              <w:widowControl w:val="0"/>
              <w:ind w:firstLine="33"/>
              <w:jc w:val="both"/>
              <w:rPr>
                <w:rFonts w:eastAsia="Calibri"/>
              </w:rPr>
            </w:pPr>
            <w:r w:rsidRPr="00C532CF">
              <w:rPr>
                <w:rFonts w:eastAsia="Calibri"/>
              </w:rPr>
              <w:t>- нотариально удостоверенную копию свидетельства о постановке на учет в налоговом органе;</w:t>
            </w:r>
          </w:p>
          <w:p w14:paraId="7838911B" w14:textId="77777777" w:rsidR="00C532CF" w:rsidRPr="00C532CF" w:rsidRDefault="00C532CF" w:rsidP="00C532CF">
            <w:pPr>
              <w:widowControl w:val="0"/>
              <w:ind w:firstLine="33"/>
              <w:jc w:val="both"/>
              <w:rPr>
                <w:rFonts w:eastAsia="Calibri"/>
              </w:rPr>
            </w:pPr>
            <w:r w:rsidRPr="00C532CF">
              <w:rPr>
                <w:rFonts w:eastAsia="Calibri"/>
              </w:rPr>
              <w:t>- надлежащим образом оформленные и заверенные документы, подтверждающие полномочия органов управления и должностных лиц претендента;</w:t>
            </w:r>
          </w:p>
          <w:p w14:paraId="2D23B74A" w14:textId="77777777" w:rsidR="00C532CF" w:rsidRPr="00C532CF" w:rsidRDefault="00C532CF" w:rsidP="00C532CF">
            <w:pPr>
              <w:widowControl w:val="0"/>
              <w:ind w:firstLine="33"/>
              <w:jc w:val="both"/>
              <w:rPr>
                <w:rFonts w:eastAsia="Calibri"/>
              </w:rPr>
            </w:pPr>
            <w:r w:rsidRPr="00C532CF">
              <w:rPr>
                <w:rFonts w:eastAsia="Calibri"/>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4E3B5CBC" w14:textId="77777777" w:rsidR="00C532CF" w:rsidRPr="00C532CF" w:rsidRDefault="00C532CF" w:rsidP="00C532CF">
            <w:pPr>
              <w:widowControl w:val="0"/>
              <w:ind w:firstLine="33"/>
              <w:jc w:val="both"/>
              <w:rPr>
                <w:rFonts w:eastAsia="Calibri"/>
              </w:rPr>
            </w:pPr>
            <w:r w:rsidRPr="00C532CF">
              <w:rPr>
                <w:rFonts w:eastAsia="Calibri"/>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66183BE" w14:textId="77777777" w:rsidR="00C532CF" w:rsidRPr="00C532CF" w:rsidRDefault="00C532CF" w:rsidP="00C532CF">
            <w:pPr>
              <w:widowControl w:val="0"/>
              <w:ind w:firstLine="33"/>
              <w:jc w:val="both"/>
              <w:rPr>
                <w:rFonts w:eastAsia="Calibri"/>
              </w:rPr>
            </w:pPr>
            <w:r w:rsidRPr="00C532CF">
              <w:rPr>
                <w:rFonts w:eastAsia="Calibri"/>
              </w:rPr>
              <w:t>- бухгалтерский баланс (формы 1,2) на последнюю отчетную дату;</w:t>
            </w:r>
          </w:p>
          <w:p w14:paraId="7607FBFE" w14:textId="77777777" w:rsidR="00C532CF" w:rsidRPr="00C532CF" w:rsidRDefault="00C532CF" w:rsidP="00C532CF">
            <w:pPr>
              <w:widowControl w:val="0"/>
              <w:ind w:firstLine="33"/>
              <w:jc w:val="both"/>
              <w:rPr>
                <w:rFonts w:eastAsia="Calibri"/>
              </w:rPr>
            </w:pPr>
            <w:r w:rsidRPr="00C532CF">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65266DEF" w14:textId="0A94CF43" w:rsidR="00C532CF" w:rsidRPr="00C532CF" w:rsidRDefault="00C532CF" w:rsidP="00C532CF">
            <w:pPr>
              <w:pStyle w:val="a6"/>
              <w:widowControl w:val="0"/>
              <w:numPr>
                <w:ilvl w:val="0"/>
                <w:numId w:val="9"/>
              </w:numPr>
              <w:ind w:left="449" w:hanging="425"/>
              <w:jc w:val="both"/>
              <w:rPr>
                <w:rFonts w:eastAsia="Calibri"/>
                <w:sz w:val="20"/>
                <w:szCs w:val="20"/>
              </w:rPr>
            </w:pPr>
            <w:r w:rsidRPr="00C532CF">
              <w:rPr>
                <w:rFonts w:eastAsia="Calibri"/>
                <w:sz w:val="20"/>
                <w:szCs w:val="20"/>
              </w:rPr>
              <w:t>Указанные документы в части их оформления и содержания должны</w:t>
            </w:r>
          </w:p>
          <w:p w14:paraId="7C57B317" w14:textId="1B199992" w:rsidR="005611FA" w:rsidRPr="00323441" w:rsidRDefault="00C532CF" w:rsidP="00323441">
            <w:pPr>
              <w:widowControl w:val="0"/>
              <w:jc w:val="both"/>
              <w:rPr>
                <w:rFonts w:eastAsia="Calibri"/>
              </w:rPr>
            </w:pPr>
            <w:r w:rsidRPr="00C532CF">
              <w:rPr>
                <w:rFonts w:eastAsia="Calibri"/>
              </w:rPr>
              <w:t>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bookmarkEnd w:id="8"/>
            <w:bookmarkEnd w:id="9"/>
            <w:bookmarkEnd w:id="10"/>
            <w:bookmarkEnd w:id="11"/>
            <w:bookmarkEnd w:id="12"/>
          </w:p>
        </w:tc>
      </w:tr>
      <w:tr w:rsidR="005611FA" w14:paraId="161328B2"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23311328" w14:textId="77777777" w:rsidR="005611FA" w:rsidRDefault="005611FA">
            <w:pPr>
              <w:autoSpaceDE w:val="0"/>
              <w:autoSpaceDN w:val="0"/>
              <w:adjustRightInd w:val="0"/>
              <w:jc w:val="both"/>
              <w:rPr>
                <w:rFonts w:eastAsia="Calibri"/>
              </w:rPr>
            </w:pPr>
            <w:r>
              <w:rPr>
                <w:rFonts w:eastAsia="Calibri"/>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4D2E69CC"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089D99DE"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Организатор торгов отказывает Заявителю в приеме и регистрации Заявки на участие в Торговых процедурах в следующих случаях:</w:t>
            </w:r>
          </w:p>
          <w:p w14:paraId="21249C90"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-Заявка на участие в Торговой процедуре подана по истечении срока приема заявок на участие в торгах, указанного в Извещении;</w:t>
            </w:r>
          </w:p>
          <w:p w14:paraId="1496FBA9"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-Заявка на участие в Торговой процедуре подана лицом, не уполномоченным действовать от имени Заявителя;</w:t>
            </w:r>
          </w:p>
          <w:p w14:paraId="7F413079"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-не представлены документы, перечисленные в Извещении;</w:t>
            </w:r>
          </w:p>
          <w:p w14:paraId="02ED8700"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6D60B3FC"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-поступление задатка на один из счетов, указанных в Извещении, не подтверждено на момент завершения периода приема задатков;</w:t>
            </w:r>
          </w:p>
          <w:p w14:paraId="31E5B21A"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53EE5B0C"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Заявитель находится в стадии ликвидации или в отношении него возбуждена процедура банкротства;</w:t>
            </w:r>
          </w:p>
          <w:p w14:paraId="641BB59D" w14:textId="7A27BFC3" w:rsidR="005611FA" w:rsidRDefault="00323441" w:rsidP="00323441">
            <w:pPr>
              <w:tabs>
                <w:tab w:val="left" w:pos="272"/>
              </w:tabs>
              <w:jc w:val="both"/>
            </w:pPr>
            <w:r w:rsidRPr="00323441">
              <w:rPr>
                <w:lang w:eastAsia="en-US"/>
              </w:rPr>
              <w:t>-финансовое состояние Заявителя будет признано Принципалом неудовлетворяющим требованиям Принципала к покупателю.</w:t>
            </w:r>
          </w:p>
        </w:tc>
      </w:tr>
      <w:tr w:rsidR="005611FA" w14:paraId="5FC0A526"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780CF446" w14:textId="77777777" w:rsidR="005611FA" w:rsidRPr="00D327CA" w:rsidRDefault="005611FA">
            <w:pPr>
              <w:autoSpaceDE w:val="0"/>
              <w:autoSpaceDN w:val="0"/>
              <w:adjustRightInd w:val="0"/>
              <w:jc w:val="both"/>
              <w:rPr>
                <w:rFonts w:eastAsia="Calibri"/>
              </w:rPr>
            </w:pPr>
            <w:r w:rsidRPr="00D327CA">
              <w:rPr>
                <w:rFonts w:eastAsia="Calibri"/>
              </w:rPr>
              <w:t xml:space="preserve">Критерии определения Победителя торговой процедуры в форме аукциона </w:t>
            </w:r>
            <w:r w:rsidRPr="00D327CA">
              <w:rPr>
                <w:rFonts w:eastAsia="Calibri"/>
                <w:b/>
              </w:rPr>
              <w:t>«на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4EC4676D" w14:textId="45CFFC53" w:rsidR="005611FA" w:rsidRPr="00D327CA" w:rsidRDefault="00B12DC6">
            <w:pPr>
              <w:tabs>
                <w:tab w:val="left" w:pos="272"/>
              </w:tabs>
              <w:jc w:val="both"/>
            </w:pPr>
            <w:r w:rsidRPr="00D327CA">
              <w:t xml:space="preserve">Победителем аукциона признается тот участник аукциона, который последним сделал предложение о цене имущества, предложивший наиболее высокую цену имущества. </w:t>
            </w:r>
            <w:r w:rsidR="005611FA" w:rsidRPr="00D327CA">
              <w:rPr>
                <w:rFonts w:eastAsia="Calibri"/>
                <w:bCs/>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CD067D" w:rsidRPr="00D327CA">
              <w:rPr>
                <w:rFonts w:eastAsia="Calibri"/>
                <w:bCs/>
                <w:lang w:eastAsia="en-US"/>
              </w:rPr>
              <w:t xml:space="preserve">купли-продажи имущества </w:t>
            </w:r>
            <w:r w:rsidR="005611FA" w:rsidRPr="00D327CA">
              <w:rPr>
                <w:rFonts w:eastAsia="Calibri"/>
                <w:bCs/>
                <w:lang w:eastAsia="en-US"/>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sidR="005611FA" w:rsidRPr="00D327CA">
              <w:rPr>
                <w:rFonts w:eastAsia="Calibri"/>
                <w:bCs/>
                <w:lang w:eastAsia="en-US"/>
              </w:rPr>
              <w:tab/>
            </w:r>
          </w:p>
        </w:tc>
      </w:tr>
      <w:tr w:rsidR="005611FA" w14:paraId="3FE47345"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7C8C99DD" w14:textId="134EAFFB" w:rsidR="005611FA" w:rsidRPr="00D327CA" w:rsidRDefault="005611FA">
            <w:pPr>
              <w:autoSpaceDE w:val="0"/>
              <w:autoSpaceDN w:val="0"/>
              <w:adjustRightInd w:val="0"/>
              <w:jc w:val="both"/>
              <w:rPr>
                <w:rFonts w:eastAsia="Calibri"/>
              </w:rPr>
            </w:pPr>
            <w:r w:rsidRPr="00D327CA">
              <w:rPr>
                <w:rFonts w:eastAsia="Calibri"/>
              </w:rPr>
              <w:t xml:space="preserve">Порядок заключения договора купли-продажи имущества     </w:t>
            </w:r>
          </w:p>
        </w:tc>
        <w:tc>
          <w:tcPr>
            <w:tcW w:w="7051" w:type="dxa"/>
            <w:tcBorders>
              <w:top w:val="single" w:sz="4" w:space="0" w:color="auto"/>
              <w:left w:val="single" w:sz="4" w:space="0" w:color="auto"/>
              <w:bottom w:val="single" w:sz="4" w:space="0" w:color="auto"/>
              <w:right w:val="single" w:sz="4" w:space="0" w:color="auto"/>
            </w:tcBorders>
            <w:hideMark/>
          </w:tcPr>
          <w:p w14:paraId="4033963A" w14:textId="77777777" w:rsidR="00B12DC6" w:rsidRPr="00B12DC6" w:rsidRDefault="00B12DC6" w:rsidP="00B12DC6">
            <w:pPr>
              <w:autoSpaceDE w:val="0"/>
              <w:autoSpaceDN w:val="0"/>
              <w:adjustRightInd w:val="0"/>
              <w:spacing w:line="256" w:lineRule="auto"/>
              <w:jc w:val="both"/>
              <w:rPr>
                <w:lang w:eastAsia="en-US"/>
              </w:rPr>
            </w:pPr>
            <w:r w:rsidRPr="00B12DC6">
              <w:rPr>
                <w:lang w:eastAsia="en-US"/>
              </w:rPr>
              <w:t xml:space="preserve">Заключение договора реализации между Принципалом и Победителем аукциона осуществляется не позднее 3 (трех) рабочих дней со дня размещения протокола об итогах торгов. </w:t>
            </w:r>
          </w:p>
          <w:p w14:paraId="1616FF52" w14:textId="77777777" w:rsidR="00B12DC6" w:rsidRPr="00B12DC6" w:rsidRDefault="00B12DC6" w:rsidP="00B12DC6">
            <w:pPr>
              <w:autoSpaceDE w:val="0"/>
              <w:autoSpaceDN w:val="0"/>
              <w:adjustRightInd w:val="0"/>
              <w:spacing w:line="256" w:lineRule="auto"/>
              <w:jc w:val="both"/>
              <w:rPr>
                <w:lang w:eastAsia="en-US"/>
              </w:rPr>
            </w:pPr>
            <w:r w:rsidRPr="00B12DC6">
              <w:rPr>
                <w:lang w:eastAsia="en-US"/>
              </w:rPr>
              <w:t xml:space="preserve">Если Победитель Торговой процедуры в установленный срок не подпишет Договор реализации, Принципал имеет право в дальнейшем отказать ему в заключении Договора купли-продажи либо обратиться в суд с требованием о понуждении заключить Договор, а также о возмещении убытков, причиненных уклонением от его заключения. </w:t>
            </w:r>
          </w:p>
          <w:p w14:paraId="4D548E50" w14:textId="0B4DB4E0" w:rsidR="005611FA" w:rsidRPr="00D327CA" w:rsidRDefault="00B12DC6" w:rsidP="00B12DC6">
            <w:pPr>
              <w:tabs>
                <w:tab w:val="left" w:pos="272"/>
              </w:tabs>
              <w:jc w:val="both"/>
            </w:pPr>
            <w:r w:rsidRPr="00D327CA">
              <w:rPr>
                <w:lang w:eastAsia="en-US"/>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 и соответствующий требованиям Принципала.</w:t>
            </w:r>
          </w:p>
        </w:tc>
      </w:tr>
    </w:tbl>
    <w:p w14:paraId="3EBC45AC" w14:textId="77777777" w:rsidR="00AA082E" w:rsidRDefault="00AA082E" w:rsidP="00C470A9">
      <w:pPr>
        <w:rPr>
          <w:rFonts w:eastAsia="Calibri"/>
          <w:sz w:val="22"/>
          <w:szCs w:val="22"/>
          <w:lang w:eastAsia="en-US"/>
        </w:rPr>
      </w:pPr>
    </w:p>
    <w:p w14:paraId="67FFEC3A" w14:textId="77777777" w:rsidR="00FC2C20" w:rsidRDefault="00FC2C20" w:rsidP="00C470A9">
      <w:pPr>
        <w:rPr>
          <w:rFonts w:eastAsia="Calibri"/>
          <w:sz w:val="22"/>
          <w:szCs w:val="22"/>
          <w:lang w:eastAsia="en-US"/>
        </w:rPr>
      </w:pPr>
    </w:p>
    <w:p w14:paraId="365163CA" w14:textId="77777777" w:rsidR="00750650" w:rsidRDefault="00750650" w:rsidP="00C470A9">
      <w:pPr>
        <w:rPr>
          <w:rFonts w:eastAsia="Calibri"/>
          <w:sz w:val="22"/>
          <w:szCs w:val="22"/>
          <w:lang w:eastAsia="en-US"/>
        </w:rPr>
      </w:pPr>
    </w:p>
    <w:p w14:paraId="79768ADC" w14:textId="77777777" w:rsidR="00750650" w:rsidRDefault="00750650" w:rsidP="00C470A9">
      <w:pPr>
        <w:rPr>
          <w:rFonts w:eastAsia="Calibri"/>
          <w:sz w:val="22"/>
          <w:szCs w:val="22"/>
          <w:lang w:eastAsia="en-US"/>
        </w:rPr>
      </w:pPr>
    </w:p>
    <w:p w14:paraId="20ED9573" w14:textId="77777777" w:rsidR="00EE7001" w:rsidRDefault="00EE7001" w:rsidP="00C470A9">
      <w:pPr>
        <w:rPr>
          <w:rFonts w:eastAsia="Calibri"/>
          <w:sz w:val="22"/>
          <w:szCs w:val="22"/>
          <w:lang w:eastAsia="en-US"/>
        </w:rPr>
      </w:pPr>
    </w:p>
    <w:p w14:paraId="551AA6D7" w14:textId="77777777" w:rsidR="00EE7001" w:rsidRDefault="00EE7001" w:rsidP="00C470A9">
      <w:pPr>
        <w:rPr>
          <w:rFonts w:eastAsia="Calibri"/>
          <w:sz w:val="22"/>
          <w:szCs w:val="22"/>
          <w:lang w:eastAsia="en-US"/>
        </w:rPr>
      </w:pPr>
    </w:p>
    <w:p w14:paraId="07818B32" w14:textId="77777777" w:rsidR="00EE7001" w:rsidRDefault="00EE7001" w:rsidP="00C470A9">
      <w:pPr>
        <w:rPr>
          <w:rFonts w:eastAsia="Calibri"/>
          <w:sz w:val="22"/>
          <w:szCs w:val="22"/>
          <w:lang w:eastAsia="en-US"/>
        </w:rPr>
      </w:pPr>
    </w:p>
    <w:p w14:paraId="2FBA025F" w14:textId="77777777" w:rsidR="00EE7001" w:rsidRDefault="00EE7001" w:rsidP="00C470A9">
      <w:pPr>
        <w:rPr>
          <w:rFonts w:eastAsia="Calibri"/>
          <w:sz w:val="22"/>
          <w:szCs w:val="22"/>
          <w:lang w:eastAsia="en-US"/>
        </w:rPr>
      </w:pPr>
    </w:p>
    <w:p w14:paraId="3FBB8C68" w14:textId="77777777" w:rsidR="00EE7001" w:rsidRDefault="00EE7001" w:rsidP="00C470A9">
      <w:pPr>
        <w:rPr>
          <w:rFonts w:eastAsia="Calibri"/>
          <w:sz w:val="22"/>
          <w:szCs w:val="22"/>
          <w:lang w:eastAsia="en-US"/>
        </w:rPr>
      </w:pPr>
    </w:p>
    <w:p w14:paraId="22E3152D" w14:textId="77777777" w:rsidR="00EE7001" w:rsidRDefault="00EE7001" w:rsidP="00C470A9">
      <w:pPr>
        <w:rPr>
          <w:rFonts w:eastAsia="Calibri"/>
          <w:sz w:val="22"/>
          <w:szCs w:val="22"/>
          <w:lang w:eastAsia="en-US"/>
        </w:rPr>
      </w:pPr>
    </w:p>
    <w:p w14:paraId="22F885B9" w14:textId="764DBCC4" w:rsidR="00750650" w:rsidRPr="00E90195" w:rsidRDefault="00750650" w:rsidP="00750650">
      <w:pPr>
        <w:jc w:val="right"/>
        <w:rPr>
          <w:rFonts w:eastAsia="Calibri"/>
          <w:sz w:val="22"/>
          <w:szCs w:val="22"/>
          <w:lang w:eastAsia="en-US"/>
        </w:rPr>
      </w:pPr>
      <w:r w:rsidRPr="00E90195">
        <w:rPr>
          <w:rFonts w:eastAsia="Calibri"/>
          <w:sz w:val="22"/>
          <w:szCs w:val="22"/>
          <w:lang w:eastAsia="en-US"/>
        </w:rPr>
        <w:t xml:space="preserve">Приложение </w:t>
      </w:r>
      <w:r w:rsidR="00D1412E">
        <w:rPr>
          <w:rFonts w:eastAsia="Calibri"/>
          <w:sz w:val="22"/>
          <w:szCs w:val="22"/>
          <w:lang w:eastAsia="en-US"/>
        </w:rPr>
        <w:t>1</w:t>
      </w:r>
      <w:r w:rsidRPr="00E90195">
        <w:rPr>
          <w:rFonts w:eastAsia="Calibri"/>
          <w:sz w:val="22"/>
          <w:szCs w:val="22"/>
          <w:lang w:eastAsia="en-US"/>
        </w:rPr>
        <w:t xml:space="preserve"> к Торговой документации</w:t>
      </w:r>
    </w:p>
    <w:p w14:paraId="14CCBB73" w14:textId="77777777" w:rsidR="00750650" w:rsidRPr="00E90195" w:rsidRDefault="00750650"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lastRenderedPageBreak/>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7FAF9E91" w14:textId="77777777" w:rsidR="00385785" w:rsidRDefault="00385785"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292E1E93" w14:textId="77777777" w:rsidR="00D33B46" w:rsidRDefault="00D33B46" w:rsidP="00EC430A">
      <w:pPr>
        <w:rPr>
          <w:sz w:val="24"/>
          <w:szCs w:val="24"/>
        </w:rPr>
      </w:pPr>
    </w:p>
    <w:p w14:paraId="0292E553" w14:textId="77777777" w:rsidR="00750650" w:rsidRDefault="00750650" w:rsidP="00EC430A">
      <w:pPr>
        <w:rPr>
          <w:sz w:val="24"/>
          <w:szCs w:val="24"/>
        </w:rPr>
      </w:pPr>
    </w:p>
    <w:p w14:paraId="01BE5287" w14:textId="77777777" w:rsidR="00304D7B" w:rsidRPr="00E90195" w:rsidRDefault="00304D7B" w:rsidP="00EC430A">
      <w:pPr>
        <w:rPr>
          <w:sz w:val="24"/>
          <w:szCs w:val="24"/>
        </w:rPr>
      </w:pPr>
    </w:p>
    <w:p w14:paraId="69A510C0" w14:textId="4C89BC75"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t xml:space="preserve">Приложение </w:t>
      </w:r>
      <w:r w:rsidR="00D1412E">
        <w:rPr>
          <w:sz w:val="24"/>
          <w:szCs w:val="24"/>
        </w:rPr>
        <w:t>2</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lastRenderedPageBreak/>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7426D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FBEF0" w14:textId="77777777" w:rsidR="00E459D9" w:rsidRDefault="00E459D9" w:rsidP="00020E44">
      <w:r>
        <w:separator/>
      </w:r>
    </w:p>
  </w:endnote>
  <w:endnote w:type="continuationSeparator" w:id="0">
    <w:p w14:paraId="300DCFB8" w14:textId="77777777" w:rsidR="00E459D9" w:rsidRDefault="00E459D9"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5AEC" w14:textId="77777777" w:rsidR="00E459D9" w:rsidRDefault="00E459D9" w:rsidP="00020E44">
      <w:r>
        <w:separator/>
      </w:r>
    </w:p>
  </w:footnote>
  <w:footnote w:type="continuationSeparator" w:id="0">
    <w:p w14:paraId="22EDE9CA" w14:textId="77777777" w:rsidR="00E459D9" w:rsidRDefault="00E459D9"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8"/>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44"/>
    <w:rsid w:val="000027B7"/>
    <w:rsid w:val="0000714C"/>
    <w:rsid w:val="000111BC"/>
    <w:rsid w:val="00013DED"/>
    <w:rsid w:val="00020E44"/>
    <w:rsid w:val="00036FC3"/>
    <w:rsid w:val="0004659E"/>
    <w:rsid w:val="000538C1"/>
    <w:rsid w:val="00056140"/>
    <w:rsid w:val="000876AA"/>
    <w:rsid w:val="000A54DF"/>
    <w:rsid w:val="000B076F"/>
    <w:rsid w:val="000B6847"/>
    <w:rsid w:val="000C3648"/>
    <w:rsid w:val="000C56F8"/>
    <w:rsid w:val="000C69C1"/>
    <w:rsid w:val="000D732A"/>
    <w:rsid w:val="000D7ECC"/>
    <w:rsid w:val="0010351D"/>
    <w:rsid w:val="001037EA"/>
    <w:rsid w:val="00116AEB"/>
    <w:rsid w:val="0012350A"/>
    <w:rsid w:val="00125202"/>
    <w:rsid w:val="00135C07"/>
    <w:rsid w:val="00147EBE"/>
    <w:rsid w:val="00151EEF"/>
    <w:rsid w:val="0015339A"/>
    <w:rsid w:val="0018334F"/>
    <w:rsid w:val="00184FF1"/>
    <w:rsid w:val="00191C23"/>
    <w:rsid w:val="001A139D"/>
    <w:rsid w:val="001A4322"/>
    <w:rsid w:val="001A48DE"/>
    <w:rsid w:val="001A4FEC"/>
    <w:rsid w:val="001B0C8B"/>
    <w:rsid w:val="001C1360"/>
    <w:rsid w:val="001C3868"/>
    <w:rsid w:val="001D176B"/>
    <w:rsid w:val="001E0D4B"/>
    <w:rsid w:val="001E2A42"/>
    <w:rsid w:val="001E57BF"/>
    <w:rsid w:val="001F57F2"/>
    <w:rsid w:val="001F6DFF"/>
    <w:rsid w:val="0020448D"/>
    <w:rsid w:val="002327BC"/>
    <w:rsid w:val="00242116"/>
    <w:rsid w:val="0024227F"/>
    <w:rsid w:val="002465B4"/>
    <w:rsid w:val="00246784"/>
    <w:rsid w:val="00250A5E"/>
    <w:rsid w:val="00275198"/>
    <w:rsid w:val="00281B2E"/>
    <w:rsid w:val="00282060"/>
    <w:rsid w:val="0029467B"/>
    <w:rsid w:val="002A47F8"/>
    <w:rsid w:val="002A48B8"/>
    <w:rsid w:val="002B1C09"/>
    <w:rsid w:val="002B6080"/>
    <w:rsid w:val="002C16C9"/>
    <w:rsid w:val="002C6675"/>
    <w:rsid w:val="002E6214"/>
    <w:rsid w:val="002F17FE"/>
    <w:rsid w:val="002F67BB"/>
    <w:rsid w:val="00304D7B"/>
    <w:rsid w:val="00314375"/>
    <w:rsid w:val="0031724B"/>
    <w:rsid w:val="003214BC"/>
    <w:rsid w:val="00323441"/>
    <w:rsid w:val="00331CD3"/>
    <w:rsid w:val="00346DD0"/>
    <w:rsid w:val="003517EB"/>
    <w:rsid w:val="00377AA3"/>
    <w:rsid w:val="00377B44"/>
    <w:rsid w:val="0038146F"/>
    <w:rsid w:val="00385785"/>
    <w:rsid w:val="003862B6"/>
    <w:rsid w:val="00390008"/>
    <w:rsid w:val="00390899"/>
    <w:rsid w:val="003915E6"/>
    <w:rsid w:val="0039591D"/>
    <w:rsid w:val="003A1751"/>
    <w:rsid w:val="003B4CBF"/>
    <w:rsid w:val="003C0393"/>
    <w:rsid w:val="003C2E0C"/>
    <w:rsid w:val="003D41DE"/>
    <w:rsid w:val="003E53D6"/>
    <w:rsid w:val="003F6CF2"/>
    <w:rsid w:val="00411C0B"/>
    <w:rsid w:val="00424E22"/>
    <w:rsid w:val="0044147C"/>
    <w:rsid w:val="004444AE"/>
    <w:rsid w:val="004456CD"/>
    <w:rsid w:val="004512F4"/>
    <w:rsid w:val="004679F6"/>
    <w:rsid w:val="00474B20"/>
    <w:rsid w:val="00477AE3"/>
    <w:rsid w:val="00495437"/>
    <w:rsid w:val="004955C5"/>
    <w:rsid w:val="00497C09"/>
    <w:rsid w:val="004A025D"/>
    <w:rsid w:val="004A11A1"/>
    <w:rsid w:val="004A2315"/>
    <w:rsid w:val="004A3A03"/>
    <w:rsid w:val="004A4233"/>
    <w:rsid w:val="004A6E92"/>
    <w:rsid w:val="004A78CB"/>
    <w:rsid w:val="004B18E9"/>
    <w:rsid w:val="004D5D58"/>
    <w:rsid w:val="004E1FE6"/>
    <w:rsid w:val="004E3B5D"/>
    <w:rsid w:val="00510D9A"/>
    <w:rsid w:val="0051726C"/>
    <w:rsid w:val="0052530E"/>
    <w:rsid w:val="005424ED"/>
    <w:rsid w:val="005611FA"/>
    <w:rsid w:val="005661B6"/>
    <w:rsid w:val="0057026F"/>
    <w:rsid w:val="0057403D"/>
    <w:rsid w:val="00575FB5"/>
    <w:rsid w:val="005859DB"/>
    <w:rsid w:val="00590D01"/>
    <w:rsid w:val="00594B5E"/>
    <w:rsid w:val="005A057C"/>
    <w:rsid w:val="005B163E"/>
    <w:rsid w:val="005E0170"/>
    <w:rsid w:val="005E4D03"/>
    <w:rsid w:val="00623EAB"/>
    <w:rsid w:val="006324E0"/>
    <w:rsid w:val="0065078A"/>
    <w:rsid w:val="00657DD7"/>
    <w:rsid w:val="00665825"/>
    <w:rsid w:val="006712A6"/>
    <w:rsid w:val="006856F1"/>
    <w:rsid w:val="006859A9"/>
    <w:rsid w:val="006861A8"/>
    <w:rsid w:val="006933C9"/>
    <w:rsid w:val="00694120"/>
    <w:rsid w:val="006A7596"/>
    <w:rsid w:val="006C1CFA"/>
    <w:rsid w:val="006C643E"/>
    <w:rsid w:val="006C715A"/>
    <w:rsid w:val="006E4908"/>
    <w:rsid w:val="006E5F3F"/>
    <w:rsid w:val="006F3A34"/>
    <w:rsid w:val="0071537B"/>
    <w:rsid w:val="0072501D"/>
    <w:rsid w:val="00732999"/>
    <w:rsid w:val="007426D0"/>
    <w:rsid w:val="007446AA"/>
    <w:rsid w:val="00747441"/>
    <w:rsid w:val="00750650"/>
    <w:rsid w:val="00756F6F"/>
    <w:rsid w:val="00760848"/>
    <w:rsid w:val="00776965"/>
    <w:rsid w:val="00776EAD"/>
    <w:rsid w:val="0077706D"/>
    <w:rsid w:val="00782F8E"/>
    <w:rsid w:val="00786E9A"/>
    <w:rsid w:val="00792113"/>
    <w:rsid w:val="0079398D"/>
    <w:rsid w:val="00795722"/>
    <w:rsid w:val="007A56D6"/>
    <w:rsid w:val="007B0CC1"/>
    <w:rsid w:val="007B18F0"/>
    <w:rsid w:val="007B1F5B"/>
    <w:rsid w:val="007D03AC"/>
    <w:rsid w:val="007D27FE"/>
    <w:rsid w:val="007D531F"/>
    <w:rsid w:val="007F45F8"/>
    <w:rsid w:val="008000D3"/>
    <w:rsid w:val="008008B1"/>
    <w:rsid w:val="00805A10"/>
    <w:rsid w:val="00807FF1"/>
    <w:rsid w:val="00863558"/>
    <w:rsid w:val="008661BC"/>
    <w:rsid w:val="00872DF1"/>
    <w:rsid w:val="00875F6F"/>
    <w:rsid w:val="008807C9"/>
    <w:rsid w:val="008862CE"/>
    <w:rsid w:val="00891601"/>
    <w:rsid w:val="008B47ED"/>
    <w:rsid w:val="008B4FCC"/>
    <w:rsid w:val="008C4E71"/>
    <w:rsid w:val="008D1E64"/>
    <w:rsid w:val="008D4D6D"/>
    <w:rsid w:val="008E0CC8"/>
    <w:rsid w:val="008F6A39"/>
    <w:rsid w:val="00915926"/>
    <w:rsid w:val="0092028C"/>
    <w:rsid w:val="00924072"/>
    <w:rsid w:val="00940CEA"/>
    <w:rsid w:val="0095222D"/>
    <w:rsid w:val="00953C93"/>
    <w:rsid w:val="009541A8"/>
    <w:rsid w:val="00954566"/>
    <w:rsid w:val="00965AF8"/>
    <w:rsid w:val="00970B75"/>
    <w:rsid w:val="009723E6"/>
    <w:rsid w:val="00981E6F"/>
    <w:rsid w:val="009A48C4"/>
    <w:rsid w:val="009B091F"/>
    <w:rsid w:val="009B299D"/>
    <w:rsid w:val="009C0F20"/>
    <w:rsid w:val="009C46DB"/>
    <w:rsid w:val="009C6875"/>
    <w:rsid w:val="009D443C"/>
    <w:rsid w:val="009E2985"/>
    <w:rsid w:val="009F7494"/>
    <w:rsid w:val="00A12673"/>
    <w:rsid w:val="00A13974"/>
    <w:rsid w:val="00A5020E"/>
    <w:rsid w:val="00A54634"/>
    <w:rsid w:val="00A54663"/>
    <w:rsid w:val="00A60AD8"/>
    <w:rsid w:val="00A66290"/>
    <w:rsid w:val="00A81EAC"/>
    <w:rsid w:val="00A86DB7"/>
    <w:rsid w:val="00A90363"/>
    <w:rsid w:val="00A90ED6"/>
    <w:rsid w:val="00AA082E"/>
    <w:rsid w:val="00AB58AA"/>
    <w:rsid w:val="00AD0A58"/>
    <w:rsid w:val="00AE5355"/>
    <w:rsid w:val="00AF007C"/>
    <w:rsid w:val="00B10D1B"/>
    <w:rsid w:val="00B11FCC"/>
    <w:rsid w:val="00B12DC6"/>
    <w:rsid w:val="00B167C6"/>
    <w:rsid w:val="00B17B88"/>
    <w:rsid w:val="00B17ED6"/>
    <w:rsid w:val="00B22DB1"/>
    <w:rsid w:val="00B22F96"/>
    <w:rsid w:val="00B30F50"/>
    <w:rsid w:val="00B37126"/>
    <w:rsid w:val="00B4093F"/>
    <w:rsid w:val="00B5095D"/>
    <w:rsid w:val="00B529AE"/>
    <w:rsid w:val="00B55A9C"/>
    <w:rsid w:val="00B61CE1"/>
    <w:rsid w:val="00BA5672"/>
    <w:rsid w:val="00BB3EBB"/>
    <w:rsid w:val="00BB5312"/>
    <w:rsid w:val="00BD76A1"/>
    <w:rsid w:val="00C03E57"/>
    <w:rsid w:val="00C1100A"/>
    <w:rsid w:val="00C20A1C"/>
    <w:rsid w:val="00C470A9"/>
    <w:rsid w:val="00C51739"/>
    <w:rsid w:val="00C532CF"/>
    <w:rsid w:val="00C63384"/>
    <w:rsid w:val="00C6674A"/>
    <w:rsid w:val="00C73F8A"/>
    <w:rsid w:val="00C87EB5"/>
    <w:rsid w:val="00C952F6"/>
    <w:rsid w:val="00CC713D"/>
    <w:rsid w:val="00CC7647"/>
    <w:rsid w:val="00CD067D"/>
    <w:rsid w:val="00CD1ADA"/>
    <w:rsid w:val="00CE30E9"/>
    <w:rsid w:val="00CF587E"/>
    <w:rsid w:val="00D01B06"/>
    <w:rsid w:val="00D027CA"/>
    <w:rsid w:val="00D041D8"/>
    <w:rsid w:val="00D05DA9"/>
    <w:rsid w:val="00D1412E"/>
    <w:rsid w:val="00D17325"/>
    <w:rsid w:val="00D2029C"/>
    <w:rsid w:val="00D20C3B"/>
    <w:rsid w:val="00D256EF"/>
    <w:rsid w:val="00D327CA"/>
    <w:rsid w:val="00D33B46"/>
    <w:rsid w:val="00D34E66"/>
    <w:rsid w:val="00D377A0"/>
    <w:rsid w:val="00D6008A"/>
    <w:rsid w:val="00D63EA0"/>
    <w:rsid w:val="00D66D2B"/>
    <w:rsid w:val="00D7315B"/>
    <w:rsid w:val="00D74A01"/>
    <w:rsid w:val="00D74F7C"/>
    <w:rsid w:val="00D87DE9"/>
    <w:rsid w:val="00D93356"/>
    <w:rsid w:val="00DA26B9"/>
    <w:rsid w:val="00DA27EE"/>
    <w:rsid w:val="00DC2555"/>
    <w:rsid w:val="00DE1F6E"/>
    <w:rsid w:val="00DE2D76"/>
    <w:rsid w:val="00DE4693"/>
    <w:rsid w:val="00E00384"/>
    <w:rsid w:val="00E04E8D"/>
    <w:rsid w:val="00E06AB7"/>
    <w:rsid w:val="00E10240"/>
    <w:rsid w:val="00E13744"/>
    <w:rsid w:val="00E1535C"/>
    <w:rsid w:val="00E16DDF"/>
    <w:rsid w:val="00E26AE1"/>
    <w:rsid w:val="00E3516C"/>
    <w:rsid w:val="00E371D1"/>
    <w:rsid w:val="00E40B56"/>
    <w:rsid w:val="00E459D9"/>
    <w:rsid w:val="00E530DD"/>
    <w:rsid w:val="00E53179"/>
    <w:rsid w:val="00E638E4"/>
    <w:rsid w:val="00E80174"/>
    <w:rsid w:val="00E83920"/>
    <w:rsid w:val="00E90195"/>
    <w:rsid w:val="00E96022"/>
    <w:rsid w:val="00EA37F4"/>
    <w:rsid w:val="00EB1750"/>
    <w:rsid w:val="00EB5D73"/>
    <w:rsid w:val="00EC0D00"/>
    <w:rsid w:val="00EC2C61"/>
    <w:rsid w:val="00EC2FD2"/>
    <w:rsid w:val="00EC430A"/>
    <w:rsid w:val="00EE1A85"/>
    <w:rsid w:val="00EE4DC6"/>
    <w:rsid w:val="00EE7001"/>
    <w:rsid w:val="00F0556A"/>
    <w:rsid w:val="00F07358"/>
    <w:rsid w:val="00F30816"/>
    <w:rsid w:val="00F30B43"/>
    <w:rsid w:val="00F340C8"/>
    <w:rsid w:val="00F37C85"/>
    <w:rsid w:val="00F459E5"/>
    <w:rsid w:val="00F501F6"/>
    <w:rsid w:val="00F60B4D"/>
    <w:rsid w:val="00F67B4B"/>
    <w:rsid w:val="00F7090E"/>
    <w:rsid w:val="00F73765"/>
    <w:rsid w:val="00F77E45"/>
    <w:rsid w:val="00F92BE1"/>
    <w:rsid w:val="00F9480E"/>
    <w:rsid w:val="00FA15F1"/>
    <w:rsid w:val="00FB15E0"/>
    <w:rsid w:val="00FB6FF9"/>
    <w:rsid w:val="00FB782D"/>
    <w:rsid w:val="00FC2C20"/>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C0DA0B76-B414-4C80-8D17-F379BFC9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UnresolvedMention">
    <w:name w:val="Unresolved Mention"/>
    <w:basedOn w:val="a0"/>
    <w:uiPriority w:val="99"/>
    <w:semiHidden/>
    <w:unhideWhenUsed/>
    <w:rsid w:val="00A1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4109">
      <w:bodyDiv w:val="1"/>
      <w:marLeft w:val="0"/>
      <w:marRight w:val="0"/>
      <w:marTop w:val="0"/>
      <w:marBottom w:val="0"/>
      <w:divBdr>
        <w:top w:val="none" w:sz="0" w:space="0" w:color="auto"/>
        <w:left w:val="none" w:sz="0" w:space="0" w:color="auto"/>
        <w:bottom w:val="none" w:sz="0" w:space="0" w:color="auto"/>
        <w:right w:val="none" w:sz="0" w:space="0" w:color="auto"/>
      </w:divBdr>
    </w:div>
    <w:div w:id="197814595">
      <w:bodyDiv w:val="1"/>
      <w:marLeft w:val="0"/>
      <w:marRight w:val="0"/>
      <w:marTop w:val="0"/>
      <w:marBottom w:val="0"/>
      <w:divBdr>
        <w:top w:val="none" w:sz="0" w:space="0" w:color="auto"/>
        <w:left w:val="none" w:sz="0" w:space="0" w:color="auto"/>
        <w:bottom w:val="none" w:sz="0" w:space="0" w:color="auto"/>
        <w:right w:val="none" w:sz="0" w:space="0" w:color="auto"/>
      </w:divBdr>
    </w:div>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378433693">
      <w:bodyDiv w:val="1"/>
      <w:marLeft w:val="0"/>
      <w:marRight w:val="0"/>
      <w:marTop w:val="0"/>
      <w:marBottom w:val="0"/>
      <w:divBdr>
        <w:top w:val="none" w:sz="0" w:space="0" w:color="auto"/>
        <w:left w:val="none" w:sz="0" w:space="0" w:color="auto"/>
        <w:bottom w:val="none" w:sz="0" w:space="0" w:color="auto"/>
        <w:right w:val="none" w:sz="0" w:space="0" w:color="auto"/>
      </w:divBdr>
    </w:div>
    <w:div w:id="502549837">
      <w:bodyDiv w:val="1"/>
      <w:marLeft w:val="0"/>
      <w:marRight w:val="0"/>
      <w:marTop w:val="0"/>
      <w:marBottom w:val="0"/>
      <w:divBdr>
        <w:top w:val="none" w:sz="0" w:space="0" w:color="auto"/>
        <w:left w:val="none" w:sz="0" w:space="0" w:color="auto"/>
        <w:bottom w:val="none" w:sz="0" w:space="0" w:color="auto"/>
        <w:right w:val="none" w:sz="0" w:space="0" w:color="auto"/>
      </w:divBdr>
    </w:div>
    <w:div w:id="515073950">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694235185">
      <w:bodyDiv w:val="1"/>
      <w:marLeft w:val="0"/>
      <w:marRight w:val="0"/>
      <w:marTop w:val="0"/>
      <w:marBottom w:val="0"/>
      <w:divBdr>
        <w:top w:val="none" w:sz="0" w:space="0" w:color="auto"/>
        <w:left w:val="none" w:sz="0" w:space="0" w:color="auto"/>
        <w:bottom w:val="none" w:sz="0" w:space="0" w:color="auto"/>
        <w:right w:val="none" w:sz="0" w:space="0" w:color="auto"/>
      </w:divBdr>
    </w:div>
    <w:div w:id="72117024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975766507">
      <w:bodyDiv w:val="1"/>
      <w:marLeft w:val="0"/>
      <w:marRight w:val="0"/>
      <w:marTop w:val="0"/>
      <w:marBottom w:val="0"/>
      <w:divBdr>
        <w:top w:val="none" w:sz="0" w:space="0" w:color="auto"/>
        <w:left w:val="none" w:sz="0" w:space="0" w:color="auto"/>
        <w:bottom w:val="none" w:sz="0" w:space="0" w:color="auto"/>
        <w:right w:val="none" w:sz="0" w:space="0" w:color="auto"/>
      </w:divBdr>
    </w:div>
    <w:div w:id="1016074959">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28457175">
      <w:bodyDiv w:val="1"/>
      <w:marLeft w:val="0"/>
      <w:marRight w:val="0"/>
      <w:marTop w:val="0"/>
      <w:marBottom w:val="0"/>
      <w:divBdr>
        <w:top w:val="none" w:sz="0" w:space="0" w:color="auto"/>
        <w:left w:val="none" w:sz="0" w:space="0" w:color="auto"/>
        <w:bottom w:val="none" w:sz="0" w:space="0" w:color="auto"/>
        <w:right w:val="none" w:sz="0" w:space="0" w:color="auto"/>
      </w:divBdr>
    </w:div>
    <w:div w:id="1141388471">
      <w:bodyDiv w:val="1"/>
      <w:marLeft w:val="0"/>
      <w:marRight w:val="0"/>
      <w:marTop w:val="0"/>
      <w:marBottom w:val="0"/>
      <w:divBdr>
        <w:top w:val="none" w:sz="0" w:space="0" w:color="auto"/>
        <w:left w:val="none" w:sz="0" w:space="0" w:color="auto"/>
        <w:bottom w:val="none" w:sz="0" w:space="0" w:color="auto"/>
        <w:right w:val="none" w:sz="0" w:space="0" w:color="auto"/>
      </w:divBdr>
    </w:div>
    <w:div w:id="1258557579">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18461785">
      <w:bodyDiv w:val="1"/>
      <w:marLeft w:val="0"/>
      <w:marRight w:val="0"/>
      <w:marTop w:val="0"/>
      <w:marBottom w:val="0"/>
      <w:divBdr>
        <w:top w:val="none" w:sz="0" w:space="0" w:color="auto"/>
        <w:left w:val="none" w:sz="0" w:space="0" w:color="auto"/>
        <w:bottom w:val="none" w:sz="0" w:space="0" w:color="auto"/>
        <w:right w:val="none" w:sz="0" w:space="0" w:color="auto"/>
      </w:divBdr>
    </w:div>
    <w:div w:id="1330912220">
      <w:bodyDiv w:val="1"/>
      <w:marLeft w:val="0"/>
      <w:marRight w:val="0"/>
      <w:marTop w:val="0"/>
      <w:marBottom w:val="0"/>
      <w:divBdr>
        <w:top w:val="none" w:sz="0" w:space="0" w:color="auto"/>
        <w:left w:val="none" w:sz="0" w:space="0" w:color="auto"/>
        <w:bottom w:val="none" w:sz="0" w:space="0" w:color="auto"/>
        <w:right w:val="none" w:sz="0" w:space="0" w:color="auto"/>
      </w:divBdr>
    </w:div>
    <w:div w:id="1369641308">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55720931">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793358308">
      <w:bodyDiv w:val="1"/>
      <w:marLeft w:val="0"/>
      <w:marRight w:val="0"/>
      <w:marTop w:val="0"/>
      <w:marBottom w:val="0"/>
      <w:divBdr>
        <w:top w:val="none" w:sz="0" w:space="0" w:color="auto"/>
        <w:left w:val="none" w:sz="0" w:space="0" w:color="auto"/>
        <w:bottom w:val="none" w:sz="0" w:space="0" w:color="auto"/>
        <w:right w:val="none" w:sz="0" w:space="0" w:color="auto"/>
      </w:divBdr>
    </w:div>
    <w:div w:id="1812358606">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887987728">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 w:id="2044165503">
      <w:bodyDiv w:val="1"/>
      <w:marLeft w:val="0"/>
      <w:marRight w:val="0"/>
      <w:marTop w:val="0"/>
      <w:marBottom w:val="0"/>
      <w:divBdr>
        <w:top w:val="none" w:sz="0" w:space="0" w:color="auto"/>
        <w:left w:val="none" w:sz="0" w:space="0" w:color="auto"/>
        <w:bottom w:val="none" w:sz="0" w:space="0" w:color="auto"/>
        <w:right w:val="none" w:sz="0" w:space="0" w:color="auto"/>
      </w:divBdr>
    </w:div>
    <w:div w:id="21254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D6ED-7D76-4329-9B48-2F4F36C6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4600</Words>
  <Characters>26225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Ендаков Анатолий Олегович</cp:lastModifiedBy>
  <cp:revision>4</cp:revision>
  <cp:lastPrinted>2021-03-05T11:26:00Z</cp:lastPrinted>
  <dcterms:created xsi:type="dcterms:W3CDTF">2024-10-14T06:29:00Z</dcterms:created>
  <dcterms:modified xsi:type="dcterms:W3CDTF">2024-10-14T06:30:00Z</dcterms:modified>
</cp:coreProperties>
</file>