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63B89F0F" w:rsidR="007B630D" w:rsidRDefault="005B5D8D" w:rsidP="00E53279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9E5B64" w:rsidRPr="009E5B64">
        <w:rPr>
          <w:rFonts w:ascii="Times New Roman" w:hAnsi="Times New Roman"/>
        </w:rPr>
        <w:t xml:space="preserve">право заключения договора уступки </w:t>
      </w:r>
      <w:r w:rsidR="006A2500" w:rsidRPr="006A2500">
        <w:rPr>
          <w:rFonts w:ascii="Times New Roman" w:hAnsi="Times New Roman"/>
        </w:rPr>
        <w:t xml:space="preserve">прав (требований) </w:t>
      </w:r>
      <w:r w:rsidR="00D447E6" w:rsidRPr="00D447E6">
        <w:rPr>
          <w:rFonts w:ascii="Times New Roman" w:hAnsi="Times New Roman"/>
        </w:rPr>
        <w:t>по обязательствам ООО «</w:t>
      </w:r>
      <w:proofErr w:type="spellStart"/>
      <w:r w:rsidR="00D447E6" w:rsidRPr="00D447E6">
        <w:rPr>
          <w:rFonts w:ascii="Times New Roman" w:hAnsi="Times New Roman"/>
        </w:rPr>
        <w:t>Кавказтурсервис</w:t>
      </w:r>
      <w:proofErr w:type="spellEnd"/>
      <w:r w:rsidR="00D447E6" w:rsidRPr="00D447E6">
        <w:rPr>
          <w:rFonts w:ascii="Times New Roman" w:hAnsi="Times New Roman"/>
        </w:rPr>
        <w:t>» перед Кабардино-Балкарским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D447E6" w:rsidRPr="00D447E6">
        <w:rPr>
          <w:rFonts w:ascii="Times New Roman" w:hAnsi="Times New Roman"/>
        </w:rPr>
        <w:t>2 703 256 (Два миллиона семьсот три тысячи двести пятьдесят шесть) руб</w:t>
      </w:r>
      <w:r w:rsidR="00D447E6">
        <w:rPr>
          <w:rFonts w:ascii="Times New Roman" w:hAnsi="Times New Roman"/>
        </w:rPr>
        <w:t>лей</w:t>
      </w:r>
      <w:r w:rsidR="00D447E6" w:rsidRPr="00D447E6">
        <w:rPr>
          <w:rFonts w:ascii="Times New Roman" w:hAnsi="Times New Roman"/>
        </w:rPr>
        <w:t xml:space="preserve"> 43 коп</w:t>
      </w:r>
      <w:r w:rsidR="00D447E6">
        <w:rPr>
          <w:rFonts w:ascii="Times New Roman" w:hAnsi="Times New Roman"/>
        </w:rPr>
        <w:t>ейки.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48DE208D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D447E6">
        <w:rPr>
          <w:rFonts w:ascii="Times New Roman" w:hAnsi="Times New Roman"/>
          <w:szCs w:val="24"/>
        </w:rPr>
        <w:t>23</w:t>
      </w:r>
      <w:r w:rsidR="000C0C24">
        <w:rPr>
          <w:rFonts w:ascii="Times New Roman" w:hAnsi="Times New Roman"/>
          <w:szCs w:val="24"/>
        </w:rPr>
        <w:t>:</w:t>
      </w:r>
      <w:r w:rsidR="00D447E6">
        <w:rPr>
          <w:rFonts w:ascii="Times New Roman" w:hAnsi="Times New Roman"/>
          <w:szCs w:val="24"/>
        </w:rPr>
        <w:t>55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D447E6">
        <w:rPr>
          <w:rFonts w:ascii="Times New Roman" w:hAnsi="Times New Roman"/>
          <w:szCs w:val="24"/>
        </w:rPr>
        <w:t>24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D447E6">
        <w:rPr>
          <w:rFonts w:ascii="Times New Roman" w:hAnsi="Times New Roman"/>
          <w:szCs w:val="24"/>
        </w:rPr>
        <w:t>январ</w:t>
      </w:r>
      <w:r w:rsidR="002B2646">
        <w:rPr>
          <w:rFonts w:ascii="Times New Roman" w:hAnsi="Times New Roman"/>
          <w:szCs w:val="24"/>
        </w:rPr>
        <w:t xml:space="preserve">я </w:t>
      </w:r>
      <w:r w:rsidR="0075683E" w:rsidRPr="0075683E">
        <w:rPr>
          <w:rFonts w:ascii="Times New Roman" w:hAnsi="Times New Roman"/>
          <w:szCs w:val="24"/>
        </w:rPr>
        <w:t>202</w:t>
      </w:r>
      <w:r w:rsidR="008C7AA8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0E583933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D447E6" w:rsidRPr="00D447E6">
        <w:rPr>
          <w:rFonts w:ascii="Times New Roman" w:hAnsi="Times New Roman"/>
          <w:b/>
        </w:rPr>
        <w:t>2 703 256 (Два миллиона семьсот три тысячи двести пятьдесят шесть) руб</w:t>
      </w:r>
      <w:r w:rsidR="00D447E6">
        <w:rPr>
          <w:rFonts w:ascii="Times New Roman" w:hAnsi="Times New Roman"/>
          <w:b/>
        </w:rPr>
        <w:t>лей</w:t>
      </w:r>
      <w:r w:rsidR="00D447E6" w:rsidRPr="00D447E6">
        <w:rPr>
          <w:rFonts w:ascii="Times New Roman" w:hAnsi="Times New Roman"/>
          <w:b/>
        </w:rPr>
        <w:t xml:space="preserve"> 43</w:t>
      </w:r>
      <w:r w:rsidR="00217B4D" w:rsidRPr="00217B4D">
        <w:rPr>
          <w:rFonts w:ascii="Times New Roman" w:hAnsi="Times New Roman"/>
          <w:b/>
        </w:rPr>
        <w:t xml:space="preserve"> копе</w:t>
      </w:r>
      <w:r w:rsidR="00D447E6">
        <w:rPr>
          <w:rFonts w:ascii="Times New Roman" w:hAnsi="Times New Roman"/>
          <w:b/>
        </w:rPr>
        <w:t>йки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EB6E1" w14:textId="77777777" w:rsidR="00CE2B75" w:rsidRDefault="00CE2B75">
      <w:r>
        <w:separator/>
      </w:r>
    </w:p>
  </w:endnote>
  <w:endnote w:type="continuationSeparator" w:id="0">
    <w:p w14:paraId="495D7EB9" w14:textId="77777777" w:rsidR="00CE2B75" w:rsidRDefault="00CE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C1413" w14:textId="77777777" w:rsidR="00CE2B75" w:rsidRDefault="00CE2B75">
      <w:r>
        <w:separator/>
      </w:r>
    </w:p>
  </w:footnote>
  <w:footnote w:type="continuationSeparator" w:id="0">
    <w:p w14:paraId="3795EE2F" w14:textId="77777777" w:rsidR="00CE2B75" w:rsidRDefault="00CE2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C0C24"/>
    <w:rsid w:val="000E4541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F2E"/>
    <w:rsid w:val="00243B50"/>
    <w:rsid w:val="002607B6"/>
    <w:rsid w:val="00262DD0"/>
    <w:rsid w:val="00274923"/>
    <w:rsid w:val="002B2646"/>
    <w:rsid w:val="002B502C"/>
    <w:rsid w:val="002B53BD"/>
    <w:rsid w:val="002C7FAC"/>
    <w:rsid w:val="002F1647"/>
    <w:rsid w:val="002F2198"/>
    <w:rsid w:val="003472A8"/>
    <w:rsid w:val="003502B2"/>
    <w:rsid w:val="003B6128"/>
    <w:rsid w:val="003C5277"/>
    <w:rsid w:val="00411167"/>
    <w:rsid w:val="004316F6"/>
    <w:rsid w:val="004444AE"/>
    <w:rsid w:val="004C2CEA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8271F"/>
    <w:rsid w:val="00784FBE"/>
    <w:rsid w:val="00787A86"/>
    <w:rsid w:val="007B18F0"/>
    <w:rsid w:val="007B630D"/>
    <w:rsid w:val="007B75FE"/>
    <w:rsid w:val="007E0AB8"/>
    <w:rsid w:val="007F2674"/>
    <w:rsid w:val="00862C3C"/>
    <w:rsid w:val="008C5845"/>
    <w:rsid w:val="008C7AA8"/>
    <w:rsid w:val="008E768A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015A4"/>
    <w:rsid w:val="00A3592A"/>
    <w:rsid w:val="00A66669"/>
    <w:rsid w:val="00A730D5"/>
    <w:rsid w:val="00AB0B72"/>
    <w:rsid w:val="00AC175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2B75"/>
    <w:rsid w:val="00CE7718"/>
    <w:rsid w:val="00D226E6"/>
    <w:rsid w:val="00D447E6"/>
    <w:rsid w:val="00D473CD"/>
    <w:rsid w:val="00D51B2A"/>
    <w:rsid w:val="00D77B1A"/>
    <w:rsid w:val="00D85C7D"/>
    <w:rsid w:val="00D86C62"/>
    <w:rsid w:val="00E07346"/>
    <w:rsid w:val="00E40B56"/>
    <w:rsid w:val="00E53279"/>
    <w:rsid w:val="00E70853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2024-12-27T10:48:00Z</dcterms:created>
  <dcterms:modified xsi:type="dcterms:W3CDTF">2024-12-27T10:48:00Z</dcterms:modified>
</cp:coreProperties>
</file>