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1EF67DC" w14:textId="2B0A031B" w:rsidR="00B00BBB" w:rsidRDefault="00020E44" w:rsidP="00B00BBB">
      <w:pPr>
        <w:widowControl w:val="0"/>
        <w:jc w:val="both"/>
        <w:rPr>
          <w:rFonts w:eastAsiaTheme="minorHAnsi"/>
          <w:bCs/>
          <w:sz w:val="24"/>
          <w:szCs w:val="24"/>
          <w:lang w:eastAsia="en-US"/>
        </w:rPr>
      </w:pPr>
      <w:r w:rsidRPr="00E90195">
        <w:rPr>
          <w:b/>
          <w:bCs/>
          <w:sz w:val="24"/>
          <w:szCs w:val="24"/>
        </w:rPr>
        <w:t>Предмет торговой процедуры:</w:t>
      </w:r>
      <w:r w:rsidR="00F944EE">
        <w:rPr>
          <w:sz w:val="24"/>
          <w:szCs w:val="24"/>
        </w:rPr>
        <w:t xml:space="preserve"> </w:t>
      </w:r>
      <w:r w:rsidR="006B3969" w:rsidRPr="006B3969">
        <w:rPr>
          <w:rFonts w:eastAsiaTheme="minorHAnsi"/>
          <w:bCs/>
          <w:sz w:val="24"/>
          <w:szCs w:val="24"/>
          <w:lang w:eastAsia="en-US"/>
        </w:rPr>
        <w:t xml:space="preserve">Квартира площадью 53,1 </w:t>
      </w:r>
      <w:proofErr w:type="spellStart"/>
      <w:r w:rsidR="006B3969" w:rsidRPr="006B3969">
        <w:rPr>
          <w:rFonts w:eastAsiaTheme="minorHAnsi"/>
          <w:bCs/>
          <w:sz w:val="24"/>
          <w:szCs w:val="24"/>
          <w:lang w:eastAsia="en-US"/>
        </w:rPr>
        <w:t>кв.м</w:t>
      </w:r>
      <w:proofErr w:type="spellEnd"/>
      <w:r w:rsidR="006B3969" w:rsidRPr="006B3969">
        <w:rPr>
          <w:rFonts w:eastAsiaTheme="minorHAnsi"/>
          <w:bCs/>
          <w:sz w:val="24"/>
          <w:szCs w:val="24"/>
          <w:lang w:eastAsia="en-US"/>
        </w:rPr>
        <w:t xml:space="preserve">. (кадастровый номер 47:21:0000000:5431), адрес: </w:t>
      </w:r>
      <w:proofErr w:type="gramStart"/>
      <w:r w:rsidR="006B3969" w:rsidRPr="006B3969">
        <w:rPr>
          <w:rFonts w:eastAsiaTheme="minorHAnsi"/>
          <w:bCs/>
          <w:sz w:val="24"/>
          <w:szCs w:val="24"/>
          <w:lang w:eastAsia="en-US"/>
        </w:rPr>
        <w:t xml:space="preserve">Ленинградская область, </w:t>
      </w:r>
      <w:proofErr w:type="spellStart"/>
      <w:r w:rsidR="006B3969" w:rsidRPr="006B3969">
        <w:rPr>
          <w:rFonts w:eastAsiaTheme="minorHAnsi"/>
          <w:bCs/>
          <w:sz w:val="24"/>
          <w:szCs w:val="24"/>
          <w:lang w:eastAsia="en-US"/>
        </w:rPr>
        <w:t>Кингисеппский</w:t>
      </w:r>
      <w:proofErr w:type="spellEnd"/>
      <w:r w:rsidR="006B3969" w:rsidRPr="006B3969">
        <w:rPr>
          <w:rFonts w:eastAsiaTheme="minorHAnsi"/>
          <w:bCs/>
          <w:sz w:val="24"/>
          <w:szCs w:val="24"/>
          <w:lang w:eastAsia="en-US"/>
        </w:rPr>
        <w:t xml:space="preserve"> район, г. Ивангород, шоссе </w:t>
      </w:r>
      <w:proofErr w:type="spellStart"/>
      <w:r w:rsidR="006B3969" w:rsidRPr="006B3969">
        <w:rPr>
          <w:rFonts w:eastAsiaTheme="minorHAnsi"/>
          <w:bCs/>
          <w:sz w:val="24"/>
          <w:szCs w:val="24"/>
          <w:lang w:eastAsia="en-US"/>
        </w:rPr>
        <w:t>Кингисеппское</w:t>
      </w:r>
      <w:proofErr w:type="spellEnd"/>
      <w:r w:rsidR="006B3969" w:rsidRPr="006B3969">
        <w:rPr>
          <w:rFonts w:eastAsiaTheme="minorHAnsi"/>
          <w:bCs/>
          <w:sz w:val="24"/>
          <w:szCs w:val="24"/>
          <w:lang w:eastAsia="en-US"/>
        </w:rPr>
        <w:t>, д. 24, кв. 29</w:t>
      </w:r>
      <w:r w:rsidR="00B00BBB" w:rsidRPr="00B00BBB">
        <w:rPr>
          <w:rFonts w:eastAsiaTheme="minorHAnsi"/>
          <w:bCs/>
          <w:sz w:val="24"/>
          <w:szCs w:val="24"/>
          <w:lang w:eastAsia="en-US"/>
        </w:rPr>
        <w:t xml:space="preserve"> </w:t>
      </w:r>
      <w:r w:rsidR="00B00BBB">
        <w:rPr>
          <w:rFonts w:eastAsiaTheme="minorHAnsi"/>
          <w:bCs/>
          <w:sz w:val="24"/>
          <w:szCs w:val="24"/>
          <w:lang w:eastAsia="en-US"/>
        </w:rPr>
        <w:t>(далее – Имущество).</w:t>
      </w:r>
      <w:r w:rsidR="00B00BBB" w:rsidRPr="00B00BBB">
        <w:rPr>
          <w:rFonts w:eastAsiaTheme="minorHAnsi"/>
          <w:bCs/>
          <w:sz w:val="24"/>
          <w:szCs w:val="24"/>
          <w:lang w:eastAsia="en-US"/>
        </w:rPr>
        <w:t xml:space="preserve"> </w:t>
      </w:r>
      <w:proofErr w:type="gramEnd"/>
    </w:p>
    <w:p w14:paraId="34BDF7AD" w14:textId="77777777" w:rsidR="00B00BBB" w:rsidRDefault="00B00BBB" w:rsidP="00B00BBB">
      <w:pPr>
        <w:widowControl w:val="0"/>
        <w:jc w:val="both"/>
        <w:rPr>
          <w:rFonts w:eastAsiaTheme="minorHAnsi"/>
          <w:bCs/>
          <w:sz w:val="24"/>
          <w:szCs w:val="24"/>
          <w:lang w:eastAsia="en-US"/>
        </w:rPr>
      </w:pPr>
    </w:p>
    <w:p w14:paraId="5448B7C9" w14:textId="68703C16" w:rsidR="002B6080" w:rsidRPr="00E90195" w:rsidRDefault="00F73765" w:rsidP="00B00BBB">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678AEB47"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6B3969" w:rsidRPr="006B3969">
        <w:rPr>
          <w:sz w:val="24"/>
          <w:szCs w:val="24"/>
        </w:rPr>
        <w:t>05</w:t>
      </w:r>
      <w:r w:rsidR="000C56F8">
        <w:rPr>
          <w:sz w:val="24"/>
          <w:szCs w:val="24"/>
        </w:rPr>
        <w:t>»</w:t>
      </w:r>
      <w:r w:rsidRPr="003C0393">
        <w:rPr>
          <w:sz w:val="24"/>
          <w:szCs w:val="24"/>
        </w:rPr>
        <w:t xml:space="preserve"> </w:t>
      </w:r>
      <w:r w:rsidR="006B3969">
        <w:rPr>
          <w:sz w:val="24"/>
          <w:szCs w:val="24"/>
        </w:rPr>
        <w:t>феврал</w:t>
      </w:r>
      <w:r w:rsidR="00B00BBB">
        <w:rPr>
          <w:sz w:val="24"/>
          <w:szCs w:val="24"/>
        </w:rPr>
        <w:t xml:space="preserve">я </w:t>
      </w:r>
      <w:r w:rsidRPr="003C0393">
        <w:rPr>
          <w:sz w:val="24"/>
          <w:szCs w:val="24"/>
        </w:rPr>
        <w:t>202</w:t>
      </w:r>
      <w:r w:rsidR="00B00BBB">
        <w:rPr>
          <w:sz w:val="24"/>
          <w:szCs w:val="24"/>
        </w:rPr>
        <w:t>5</w:t>
      </w:r>
      <w:r w:rsidRPr="003C0393">
        <w:rPr>
          <w:sz w:val="24"/>
          <w:szCs w:val="24"/>
        </w:rPr>
        <w:t xml:space="preserve"> по «</w:t>
      </w:r>
      <w:r w:rsidR="006B3969">
        <w:rPr>
          <w:sz w:val="24"/>
          <w:szCs w:val="24"/>
        </w:rPr>
        <w:t>11</w:t>
      </w:r>
      <w:r w:rsidRPr="003C0393">
        <w:rPr>
          <w:sz w:val="24"/>
          <w:szCs w:val="24"/>
        </w:rPr>
        <w:t xml:space="preserve">» </w:t>
      </w:r>
      <w:r w:rsidR="00B00BBB">
        <w:rPr>
          <w:sz w:val="24"/>
          <w:szCs w:val="24"/>
        </w:rPr>
        <w:t xml:space="preserve">марта </w:t>
      </w:r>
      <w:r w:rsidRPr="003C0393">
        <w:rPr>
          <w:sz w:val="24"/>
          <w:szCs w:val="24"/>
        </w:rPr>
        <w:t>202</w:t>
      </w:r>
      <w:r w:rsidR="00B00BBB">
        <w:rPr>
          <w:sz w:val="24"/>
          <w:szCs w:val="24"/>
        </w:rPr>
        <w:t>5</w:t>
      </w:r>
      <w:r w:rsidRPr="003C0393">
        <w:rPr>
          <w:sz w:val="24"/>
          <w:szCs w:val="24"/>
        </w:rPr>
        <w:t xml:space="preserve"> включительно.  </w:t>
      </w:r>
    </w:p>
    <w:p w14:paraId="6B3E1829" w14:textId="77777777" w:rsidR="003C0393" w:rsidRPr="003C0393" w:rsidRDefault="003C0393" w:rsidP="003C0393">
      <w:pPr>
        <w:widowControl w:val="0"/>
        <w:jc w:val="both"/>
        <w:rPr>
          <w:sz w:val="24"/>
          <w:szCs w:val="24"/>
        </w:rPr>
      </w:pPr>
    </w:p>
    <w:p w14:paraId="4831C100" w14:textId="562E90AF"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 xml:space="preserve">не позднее </w:t>
      </w:r>
      <w:r w:rsidR="006B3969" w:rsidRPr="006B3969">
        <w:rPr>
          <w:sz w:val="24"/>
          <w:szCs w:val="24"/>
        </w:rPr>
        <w:t xml:space="preserve">«05» февраля </w:t>
      </w:r>
      <w:r w:rsidR="00B00BBB" w:rsidRPr="00B00BBB">
        <w:rPr>
          <w:sz w:val="24"/>
          <w:szCs w:val="24"/>
        </w:rPr>
        <w:t>2025</w:t>
      </w:r>
      <w:r w:rsidRPr="003C0393">
        <w:rPr>
          <w:sz w:val="24"/>
          <w:szCs w:val="24"/>
        </w:rPr>
        <w:t>.</w:t>
      </w:r>
    </w:p>
    <w:p w14:paraId="37C5EA40" w14:textId="77777777" w:rsidR="003C0393" w:rsidRPr="003C0393" w:rsidRDefault="003C0393" w:rsidP="003C0393">
      <w:pPr>
        <w:widowControl w:val="0"/>
        <w:jc w:val="both"/>
        <w:rPr>
          <w:b/>
          <w:bCs/>
          <w:sz w:val="24"/>
          <w:szCs w:val="24"/>
        </w:rPr>
      </w:pPr>
    </w:p>
    <w:p w14:paraId="3EB87D81" w14:textId="51109A29"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6B3969">
        <w:rPr>
          <w:sz w:val="24"/>
          <w:szCs w:val="24"/>
        </w:rPr>
        <w:t>9</w:t>
      </w:r>
      <w:r w:rsidRPr="003C0393">
        <w:rPr>
          <w:sz w:val="24"/>
          <w:szCs w:val="24"/>
        </w:rPr>
        <w:t xml:space="preserve">:00 по Московскому времени </w:t>
      </w:r>
      <w:r w:rsidR="006B3969" w:rsidRPr="006B3969">
        <w:rPr>
          <w:sz w:val="24"/>
          <w:szCs w:val="24"/>
        </w:rPr>
        <w:t>«0</w:t>
      </w:r>
      <w:r w:rsidR="006B3969">
        <w:rPr>
          <w:sz w:val="24"/>
          <w:szCs w:val="24"/>
        </w:rPr>
        <w:t>6</w:t>
      </w:r>
      <w:r w:rsidR="006B3969" w:rsidRPr="006B3969">
        <w:rPr>
          <w:sz w:val="24"/>
          <w:szCs w:val="24"/>
        </w:rPr>
        <w:t xml:space="preserve">» февраля </w:t>
      </w:r>
      <w:r w:rsidR="00B00BBB" w:rsidRPr="00B00BBB">
        <w:rPr>
          <w:sz w:val="24"/>
          <w:szCs w:val="24"/>
        </w:rPr>
        <w:t>2025</w:t>
      </w:r>
      <w:r w:rsidRPr="003C0393">
        <w:rPr>
          <w:sz w:val="24"/>
          <w:szCs w:val="24"/>
        </w:rPr>
        <w:t>.</w:t>
      </w:r>
    </w:p>
    <w:p w14:paraId="46B3990D" w14:textId="77777777" w:rsidR="003C0393" w:rsidRPr="003C0393" w:rsidRDefault="003C0393" w:rsidP="003C0393">
      <w:pPr>
        <w:widowControl w:val="0"/>
        <w:jc w:val="both"/>
        <w:rPr>
          <w:sz w:val="24"/>
          <w:szCs w:val="24"/>
        </w:rPr>
      </w:pPr>
    </w:p>
    <w:p w14:paraId="730363BB" w14:textId="53817435"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8661BC">
        <w:rPr>
          <w:sz w:val="24"/>
          <w:szCs w:val="24"/>
        </w:rPr>
        <w:t>1</w:t>
      </w:r>
      <w:r w:rsidR="006B3969">
        <w:rPr>
          <w:sz w:val="24"/>
          <w:szCs w:val="24"/>
        </w:rPr>
        <w:t>5</w:t>
      </w:r>
      <w:r w:rsidRPr="003C0393">
        <w:rPr>
          <w:sz w:val="24"/>
          <w:szCs w:val="24"/>
        </w:rPr>
        <w:t xml:space="preserve">:00 по Московскому времени </w:t>
      </w:r>
      <w:r w:rsidR="006B3969" w:rsidRPr="006B3969">
        <w:rPr>
          <w:sz w:val="24"/>
          <w:szCs w:val="24"/>
        </w:rPr>
        <w:t>«</w:t>
      </w:r>
      <w:r w:rsidR="00760945">
        <w:rPr>
          <w:sz w:val="24"/>
          <w:szCs w:val="24"/>
        </w:rPr>
        <w:t>04</w:t>
      </w:r>
      <w:r w:rsidR="006B3969" w:rsidRPr="006B3969">
        <w:rPr>
          <w:sz w:val="24"/>
          <w:szCs w:val="24"/>
        </w:rPr>
        <w:t>» марта</w:t>
      </w:r>
      <w:r w:rsidR="00B00BBB" w:rsidRPr="00B00BBB">
        <w:rPr>
          <w:sz w:val="24"/>
          <w:szCs w:val="24"/>
        </w:rPr>
        <w:t xml:space="preserve"> 2025</w:t>
      </w:r>
      <w:r w:rsidRPr="003C0393">
        <w:rPr>
          <w:sz w:val="24"/>
          <w:szCs w:val="24"/>
        </w:rPr>
        <w:t>.</w:t>
      </w:r>
    </w:p>
    <w:p w14:paraId="6415FF3B" w14:textId="77777777" w:rsidR="003C0393" w:rsidRPr="003C0393" w:rsidRDefault="003C0393" w:rsidP="003C0393">
      <w:pPr>
        <w:widowControl w:val="0"/>
        <w:jc w:val="both"/>
        <w:rPr>
          <w:b/>
          <w:bCs/>
          <w:sz w:val="24"/>
          <w:szCs w:val="24"/>
        </w:rPr>
      </w:pPr>
    </w:p>
    <w:p w14:paraId="3AED75D7" w14:textId="3E4066C0"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00F944EE" w:rsidRPr="00F944EE">
        <w:rPr>
          <w:sz w:val="24"/>
          <w:szCs w:val="24"/>
        </w:rPr>
        <w:t>«</w:t>
      </w:r>
      <w:r w:rsidR="006B3969">
        <w:rPr>
          <w:sz w:val="24"/>
          <w:szCs w:val="24"/>
        </w:rPr>
        <w:t>10</w:t>
      </w:r>
      <w:r w:rsidR="00F944EE" w:rsidRPr="00F944EE">
        <w:rPr>
          <w:sz w:val="24"/>
          <w:szCs w:val="24"/>
        </w:rPr>
        <w:t xml:space="preserve">» </w:t>
      </w:r>
      <w:r w:rsidR="00B00BBB">
        <w:rPr>
          <w:sz w:val="24"/>
          <w:szCs w:val="24"/>
        </w:rPr>
        <w:t>марта</w:t>
      </w:r>
      <w:r w:rsidR="00F944EE" w:rsidRPr="00F944EE">
        <w:rPr>
          <w:sz w:val="24"/>
          <w:szCs w:val="24"/>
        </w:rPr>
        <w:t xml:space="preserve"> </w:t>
      </w:r>
      <w:r w:rsidRPr="003C0393">
        <w:rPr>
          <w:sz w:val="24"/>
          <w:szCs w:val="24"/>
        </w:rPr>
        <w:t>202</w:t>
      </w:r>
      <w:r w:rsidR="00B00BBB">
        <w:rPr>
          <w:sz w:val="24"/>
          <w:szCs w:val="24"/>
        </w:rPr>
        <w:t>5</w:t>
      </w:r>
      <w:r w:rsidRPr="003C0393">
        <w:rPr>
          <w:sz w:val="24"/>
          <w:szCs w:val="24"/>
        </w:rPr>
        <w:t>.</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2BEE34B6" w:rsidR="003C0393" w:rsidRPr="003C0393" w:rsidRDefault="003C0393" w:rsidP="003C0393">
      <w:pPr>
        <w:widowControl w:val="0"/>
        <w:jc w:val="both"/>
        <w:rPr>
          <w:sz w:val="24"/>
          <w:szCs w:val="24"/>
        </w:rPr>
      </w:pPr>
      <w:r w:rsidRPr="003C0393">
        <w:rPr>
          <w:b/>
          <w:bCs/>
          <w:sz w:val="24"/>
          <w:szCs w:val="24"/>
        </w:rPr>
        <w:t xml:space="preserve"> </w:t>
      </w:r>
      <w:r w:rsidR="00B00BBB" w:rsidRPr="00B00BBB">
        <w:rPr>
          <w:sz w:val="24"/>
          <w:szCs w:val="24"/>
        </w:rPr>
        <w:t>«</w:t>
      </w:r>
      <w:r w:rsidR="006B3969">
        <w:rPr>
          <w:sz w:val="24"/>
          <w:szCs w:val="24"/>
        </w:rPr>
        <w:t>1</w:t>
      </w:r>
      <w:r w:rsidR="00B00BBB" w:rsidRPr="00B00BBB">
        <w:rPr>
          <w:sz w:val="24"/>
          <w:szCs w:val="24"/>
        </w:rPr>
        <w:t>0» марта 2025</w:t>
      </w:r>
      <w:r w:rsidRPr="003C0393">
        <w:rPr>
          <w:sz w:val="24"/>
          <w:szCs w:val="24"/>
        </w:rPr>
        <w:t>.</w:t>
      </w:r>
    </w:p>
    <w:p w14:paraId="69E4EBCE" w14:textId="77777777" w:rsidR="003C0393" w:rsidRPr="003C0393" w:rsidRDefault="003C0393" w:rsidP="003C0393">
      <w:pPr>
        <w:widowControl w:val="0"/>
        <w:jc w:val="both"/>
        <w:rPr>
          <w:sz w:val="24"/>
          <w:szCs w:val="24"/>
        </w:rPr>
      </w:pPr>
    </w:p>
    <w:p w14:paraId="0E372B29" w14:textId="0B9D5E75"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CD1ADA">
        <w:rPr>
          <w:sz w:val="24"/>
          <w:szCs w:val="24"/>
        </w:rPr>
        <w:t>0</w:t>
      </w:r>
      <w:r w:rsidR="00F944EE">
        <w:rPr>
          <w:sz w:val="24"/>
          <w:szCs w:val="24"/>
        </w:rPr>
        <w:t>9</w:t>
      </w:r>
      <w:r w:rsidRPr="003C0393">
        <w:rPr>
          <w:sz w:val="24"/>
          <w:szCs w:val="24"/>
        </w:rPr>
        <w:t xml:space="preserve">:00 по Московскому времени </w:t>
      </w:r>
      <w:r w:rsidR="00B00BBB" w:rsidRPr="00B00BBB">
        <w:rPr>
          <w:sz w:val="24"/>
          <w:szCs w:val="24"/>
        </w:rPr>
        <w:t>«</w:t>
      </w:r>
      <w:r w:rsidR="006B3969">
        <w:rPr>
          <w:sz w:val="24"/>
          <w:szCs w:val="24"/>
        </w:rPr>
        <w:t>11</w:t>
      </w:r>
      <w:r w:rsidR="00B00BBB" w:rsidRPr="00B00BBB">
        <w:rPr>
          <w:sz w:val="24"/>
          <w:szCs w:val="24"/>
        </w:rPr>
        <w:t>» марта 2025</w:t>
      </w:r>
      <w:r w:rsidRPr="003C0393">
        <w:rPr>
          <w:sz w:val="24"/>
          <w:szCs w:val="24"/>
        </w:rPr>
        <w:t>.</w:t>
      </w:r>
    </w:p>
    <w:p w14:paraId="757F77E4" w14:textId="77777777" w:rsidR="003C0393" w:rsidRPr="003C0393" w:rsidRDefault="003C0393" w:rsidP="003C0393">
      <w:pPr>
        <w:widowControl w:val="0"/>
        <w:jc w:val="both"/>
        <w:rPr>
          <w:sz w:val="24"/>
          <w:szCs w:val="24"/>
        </w:rPr>
      </w:pPr>
    </w:p>
    <w:p w14:paraId="36276847" w14:textId="25060370"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00B00BBB" w:rsidRPr="00B00BBB">
        <w:rPr>
          <w:sz w:val="24"/>
          <w:szCs w:val="24"/>
        </w:rPr>
        <w:t>«</w:t>
      </w:r>
      <w:r w:rsidR="006B3969" w:rsidRPr="006B3969">
        <w:rPr>
          <w:sz w:val="24"/>
          <w:szCs w:val="24"/>
        </w:rPr>
        <w:t>11</w:t>
      </w:r>
      <w:r w:rsidR="00B00BBB" w:rsidRPr="00B00BBB">
        <w:rPr>
          <w:sz w:val="24"/>
          <w:szCs w:val="24"/>
        </w:rPr>
        <w:t>» марта 2025</w:t>
      </w:r>
      <w:r w:rsidRPr="003C0393">
        <w:rPr>
          <w:sz w:val="24"/>
          <w:szCs w:val="24"/>
        </w:rPr>
        <w:t>.</w:t>
      </w:r>
    </w:p>
    <w:p w14:paraId="20D84EC7" w14:textId="77777777" w:rsidR="003C0393" w:rsidRPr="003C0393" w:rsidRDefault="003C0393" w:rsidP="003C0393">
      <w:pPr>
        <w:widowControl w:val="0"/>
        <w:jc w:val="both"/>
        <w:rPr>
          <w:b/>
          <w:bCs/>
          <w:sz w:val="24"/>
          <w:szCs w:val="24"/>
        </w:rPr>
      </w:pPr>
    </w:p>
    <w:p w14:paraId="18BE3ACC" w14:textId="74E85BE8"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00B00BBB" w:rsidRPr="00B00BBB">
        <w:rPr>
          <w:sz w:val="24"/>
          <w:szCs w:val="24"/>
        </w:rPr>
        <w:t>«</w:t>
      </w:r>
      <w:r w:rsidR="006B3969" w:rsidRPr="006B3969">
        <w:rPr>
          <w:sz w:val="24"/>
          <w:szCs w:val="24"/>
        </w:rPr>
        <w:t>11</w:t>
      </w:r>
      <w:r w:rsidR="00B00BBB" w:rsidRPr="00B00BBB">
        <w:rPr>
          <w:sz w:val="24"/>
          <w:szCs w:val="24"/>
        </w:rPr>
        <w:t>» марта 2025</w:t>
      </w:r>
      <w:r w:rsidRPr="003C0393">
        <w:rPr>
          <w:sz w:val="24"/>
          <w:szCs w:val="24"/>
        </w:rPr>
        <w:t>.</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3BA25345" w14:textId="77777777" w:rsidR="005611FA" w:rsidRPr="005611FA" w:rsidRDefault="005611FA" w:rsidP="005611FA">
      <w:pPr>
        <w:rPr>
          <w:sz w:val="24"/>
          <w:szCs w:val="24"/>
        </w:rPr>
      </w:pPr>
      <w:r w:rsidRPr="005611FA">
        <w:rPr>
          <w:sz w:val="24"/>
          <w:szCs w:val="24"/>
        </w:rPr>
        <w:t>119034 г. Москва, Гагаринский пер. д.3</w:t>
      </w:r>
    </w:p>
    <w:p w14:paraId="77B030E5" w14:textId="5D560A52" w:rsidR="005611FA" w:rsidRPr="005611FA" w:rsidRDefault="005611FA" w:rsidP="005611FA">
      <w:pPr>
        <w:rPr>
          <w:sz w:val="24"/>
          <w:szCs w:val="24"/>
        </w:rPr>
      </w:pPr>
      <w:r w:rsidRPr="005611FA">
        <w:rPr>
          <w:sz w:val="24"/>
          <w:szCs w:val="24"/>
        </w:rPr>
        <w:t>ИНН 7725114488</w:t>
      </w:r>
      <w:r>
        <w:rPr>
          <w:sz w:val="24"/>
          <w:szCs w:val="24"/>
        </w:rPr>
        <w:t xml:space="preserve">, </w:t>
      </w:r>
      <w:r w:rsidRPr="005611FA">
        <w:rPr>
          <w:sz w:val="24"/>
          <w:szCs w:val="24"/>
        </w:rPr>
        <w:t>КПП 997950001</w:t>
      </w:r>
    </w:p>
    <w:p w14:paraId="24DCE6F7" w14:textId="53015EB4" w:rsidR="00BB3EBB" w:rsidRDefault="005611FA" w:rsidP="005611FA">
      <w:pPr>
        <w:rPr>
          <w:sz w:val="24"/>
          <w:szCs w:val="24"/>
        </w:rPr>
      </w:pPr>
      <w:r w:rsidRPr="005611FA">
        <w:rPr>
          <w:sz w:val="24"/>
          <w:szCs w:val="24"/>
        </w:rPr>
        <w:t>Корреспондентский счет АО «</w:t>
      </w:r>
      <w:proofErr w:type="spellStart"/>
      <w:r w:rsidRPr="005611FA">
        <w:rPr>
          <w:sz w:val="24"/>
          <w:szCs w:val="24"/>
        </w:rPr>
        <w:t>Россельхозбанк</w:t>
      </w:r>
      <w:proofErr w:type="spellEnd"/>
      <w:r w:rsidRPr="005611FA">
        <w:rPr>
          <w:sz w:val="24"/>
          <w:szCs w:val="24"/>
        </w:rPr>
        <w:t>» №30101810200000000111 в ГУ Банка России по ЦФО</w:t>
      </w:r>
    </w:p>
    <w:p w14:paraId="32DC5828" w14:textId="77777777" w:rsidR="005611FA" w:rsidRDefault="005611FA" w:rsidP="005611FA">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621466D2" w:rsidR="003C0393" w:rsidRDefault="003C0393" w:rsidP="003C0393">
      <w:pPr>
        <w:jc w:val="both"/>
        <w:rPr>
          <w:sz w:val="24"/>
          <w:szCs w:val="24"/>
        </w:rPr>
      </w:pPr>
      <w:r w:rsidRPr="003C0393">
        <w:rPr>
          <w:b/>
          <w:bCs/>
          <w:sz w:val="24"/>
          <w:szCs w:val="24"/>
        </w:rPr>
        <w:t xml:space="preserve">Шаг аукциона «на повышение»: </w:t>
      </w:r>
      <w:r w:rsidR="00B00BBB" w:rsidRPr="00B00BBB">
        <w:rPr>
          <w:sz w:val="24"/>
          <w:szCs w:val="24"/>
        </w:rPr>
        <w:t>1 % от начальной цены реализации</w:t>
      </w:r>
      <w:r w:rsidR="00304D63">
        <w:rPr>
          <w:sz w:val="24"/>
          <w:szCs w:val="24"/>
        </w:rPr>
        <w:t>.</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F484A5D" w14:textId="77777777" w:rsidR="00304D63" w:rsidRDefault="003C0393" w:rsidP="00304D63">
      <w:pPr>
        <w:rPr>
          <w:sz w:val="24"/>
          <w:szCs w:val="24"/>
        </w:rPr>
      </w:pPr>
      <w:r w:rsidRPr="003C0393">
        <w:rPr>
          <w:b/>
          <w:bCs/>
          <w:sz w:val="24"/>
          <w:szCs w:val="24"/>
        </w:rPr>
        <w:lastRenderedPageBreak/>
        <w:t xml:space="preserve">Размер обеспечения Заявки на участие в Торговой процедуре: </w:t>
      </w:r>
      <w:r w:rsidR="00304D63" w:rsidRPr="00304D63">
        <w:rPr>
          <w:sz w:val="24"/>
          <w:szCs w:val="24"/>
        </w:rPr>
        <w:t>5 % от начальной цены</w:t>
      </w:r>
      <w:r w:rsidR="00304D63">
        <w:rPr>
          <w:sz w:val="24"/>
          <w:szCs w:val="24"/>
        </w:rPr>
        <w:t xml:space="preserve">/ 150 000 (сто пятьдесят тысяч) рублей 00 копеек. </w:t>
      </w:r>
    </w:p>
    <w:p w14:paraId="01966E7F" w14:textId="46283363" w:rsidR="005B163E" w:rsidRPr="00E90195" w:rsidRDefault="005B163E" w:rsidP="00304D63">
      <w:pPr>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proofErr w:type="spellStart"/>
      <w:r w:rsidR="001A48DE" w:rsidRPr="001A48DE">
        <w:rPr>
          <w:bCs/>
          <w:sz w:val="24"/>
          <w:szCs w:val="24"/>
          <w:u w:val="single"/>
          <w:lang w:val="en-US"/>
        </w:rPr>
        <w:t>alfalot</w:t>
      </w:r>
      <w:proofErr w:type="spellEnd"/>
      <w:r w:rsidR="001A48DE" w:rsidRPr="001A48DE">
        <w:rPr>
          <w:bCs/>
          <w:sz w:val="24"/>
          <w:szCs w:val="24"/>
          <w:u w:val="single"/>
        </w:rPr>
        <w:t>.</w:t>
      </w:r>
      <w:proofErr w:type="spellStart"/>
      <w:r w:rsidR="001A48DE" w:rsidRPr="001A48DE">
        <w:rPr>
          <w:bCs/>
          <w:sz w:val="24"/>
          <w:szCs w:val="24"/>
          <w:u w:val="single"/>
          <w:lang w:val="en-US"/>
        </w:rPr>
        <w:t>ru</w:t>
      </w:r>
      <w:proofErr w:type="spellEnd"/>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74DB72E6"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00D1412E" w:rsidRPr="00D1412E">
        <w:rPr>
          <w:sz w:val="24"/>
          <w:szCs w:val="24"/>
        </w:rPr>
        <w:t xml:space="preserve">не позднее </w:t>
      </w:r>
      <w:r w:rsidR="00304D63">
        <w:rPr>
          <w:sz w:val="24"/>
          <w:szCs w:val="24"/>
        </w:rPr>
        <w:t>5</w:t>
      </w:r>
      <w:r w:rsidR="00F944EE" w:rsidRPr="00F944EE">
        <w:rPr>
          <w:sz w:val="24"/>
          <w:szCs w:val="24"/>
        </w:rPr>
        <w:t xml:space="preserve"> (</w:t>
      </w:r>
      <w:r w:rsidR="00304D63" w:rsidRPr="00304D63">
        <w:rPr>
          <w:sz w:val="24"/>
          <w:szCs w:val="24"/>
        </w:rPr>
        <w:t>пяти</w:t>
      </w:r>
      <w:r w:rsidR="00F944EE" w:rsidRPr="00F944EE">
        <w:rPr>
          <w:sz w:val="24"/>
          <w:szCs w:val="24"/>
        </w:rPr>
        <w:t>)</w:t>
      </w:r>
      <w:r w:rsidR="00D1412E" w:rsidRPr="00D1412E">
        <w:rPr>
          <w:sz w:val="24"/>
          <w:szCs w:val="24"/>
        </w:rPr>
        <w:t xml:space="preserve"> рабочих </w:t>
      </w:r>
      <w:r w:rsidR="00184FF1" w:rsidRPr="00184FF1">
        <w:rPr>
          <w:sz w:val="24"/>
          <w:szCs w:val="24"/>
        </w:rPr>
        <w:t xml:space="preserve">дней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2AC1CF57"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w:t>
      </w:r>
      <w:r w:rsidR="00D1412E" w:rsidRPr="00D1412E">
        <w:rPr>
          <w:sz w:val="24"/>
          <w:szCs w:val="24"/>
        </w:rPr>
        <w:t xml:space="preserve">не более </w:t>
      </w:r>
      <w:r w:rsidR="00304D63">
        <w:rPr>
          <w:sz w:val="24"/>
          <w:szCs w:val="24"/>
        </w:rPr>
        <w:t>10</w:t>
      </w:r>
      <w:r w:rsidR="00D1412E" w:rsidRPr="00D1412E">
        <w:rPr>
          <w:sz w:val="24"/>
          <w:szCs w:val="24"/>
        </w:rPr>
        <w:t xml:space="preserve"> (</w:t>
      </w:r>
      <w:r w:rsidR="00304D63">
        <w:rPr>
          <w:sz w:val="24"/>
          <w:szCs w:val="24"/>
        </w:rPr>
        <w:t>десяти</w:t>
      </w:r>
      <w:r w:rsidR="00D1412E" w:rsidRPr="00D1412E">
        <w:rPr>
          <w:sz w:val="24"/>
          <w:szCs w:val="24"/>
        </w:rPr>
        <w:t xml:space="preserve">) рабочих дней </w:t>
      </w:r>
      <w:proofErr w:type="gramStart"/>
      <w:r w:rsidR="00D1412E" w:rsidRPr="00D1412E">
        <w:rPr>
          <w:sz w:val="24"/>
          <w:szCs w:val="24"/>
        </w:rPr>
        <w:t>с даты заключения</w:t>
      </w:r>
      <w:proofErr w:type="gramEnd"/>
      <w:r w:rsidR="00D1412E" w:rsidRPr="00D1412E">
        <w:rPr>
          <w:sz w:val="24"/>
          <w:szCs w:val="24"/>
        </w:rPr>
        <w:t xml:space="preserve">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426"/>
        <w:gridCol w:w="2976"/>
        <w:gridCol w:w="1560"/>
        <w:gridCol w:w="3260"/>
        <w:gridCol w:w="1417"/>
      </w:tblGrid>
      <w:tr w:rsidR="00304D63" w14:paraId="18C0044B" w14:textId="77777777" w:rsidTr="00B00BBB">
        <w:tc>
          <w:tcPr>
            <w:tcW w:w="426" w:type="dxa"/>
            <w:tcBorders>
              <w:top w:val="single" w:sz="4" w:space="0" w:color="000000"/>
              <w:left w:val="single" w:sz="4" w:space="0" w:color="000000"/>
              <w:bottom w:val="single" w:sz="4" w:space="0" w:color="000000"/>
              <w:right w:val="single" w:sz="4" w:space="0" w:color="000000"/>
            </w:tcBorders>
            <w:hideMark/>
          </w:tcPr>
          <w:p w14:paraId="7D85F643" w14:textId="56830429" w:rsidR="00304D63" w:rsidRDefault="00304D63" w:rsidP="00304D63">
            <w:pPr>
              <w:jc w:val="center"/>
            </w:pPr>
            <w:r>
              <w:t>№ лота</w:t>
            </w:r>
          </w:p>
        </w:tc>
        <w:tc>
          <w:tcPr>
            <w:tcW w:w="2976" w:type="dxa"/>
            <w:tcBorders>
              <w:top w:val="single" w:sz="4" w:space="0" w:color="000000"/>
              <w:left w:val="single" w:sz="4" w:space="0" w:color="000000"/>
              <w:bottom w:val="single" w:sz="4" w:space="0" w:color="000000"/>
              <w:right w:val="single" w:sz="4" w:space="0" w:color="000000"/>
            </w:tcBorders>
            <w:hideMark/>
          </w:tcPr>
          <w:p w14:paraId="6935DE32" w14:textId="77777777" w:rsidR="00304D63" w:rsidRDefault="00304D63" w:rsidP="00304D63">
            <w:pPr>
              <w:jc w:val="center"/>
            </w:pPr>
            <w:r>
              <w:t>Наименование и средства</w:t>
            </w:r>
          </w:p>
          <w:p w14:paraId="5A7E08A0" w14:textId="529A093E" w:rsidR="00304D63" w:rsidRDefault="00304D63" w:rsidP="00304D63">
            <w:pPr>
              <w:jc w:val="center"/>
            </w:pPr>
            <w:r>
              <w:t>идентификации объекта</w:t>
            </w:r>
          </w:p>
        </w:tc>
        <w:tc>
          <w:tcPr>
            <w:tcW w:w="1560" w:type="dxa"/>
            <w:tcBorders>
              <w:top w:val="single" w:sz="4" w:space="0" w:color="000000"/>
              <w:left w:val="single" w:sz="4" w:space="0" w:color="000000"/>
              <w:bottom w:val="single" w:sz="4" w:space="0" w:color="000000"/>
              <w:right w:val="single" w:sz="4" w:space="0" w:color="000000"/>
            </w:tcBorders>
            <w:hideMark/>
          </w:tcPr>
          <w:p w14:paraId="0644C443" w14:textId="77777777" w:rsidR="00304D63" w:rsidRDefault="00304D63" w:rsidP="00304D63">
            <w:pPr>
              <w:jc w:val="center"/>
            </w:pPr>
            <w:r>
              <w:t>Начальная цена</w:t>
            </w:r>
          </w:p>
          <w:p w14:paraId="003C5ED8" w14:textId="1729F81D" w:rsidR="00304D63" w:rsidRDefault="00304D63" w:rsidP="00304D63">
            <w:pPr>
              <w:jc w:val="center"/>
            </w:pPr>
            <w:r>
              <w:t>реализации прав (требований), руб.</w:t>
            </w:r>
          </w:p>
        </w:tc>
        <w:tc>
          <w:tcPr>
            <w:tcW w:w="3260" w:type="dxa"/>
            <w:tcBorders>
              <w:top w:val="single" w:sz="4" w:space="0" w:color="000000"/>
              <w:left w:val="single" w:sz="4" w:space="0" w:color="000000"/>
              <w:bottom w:val="single" w:sz="4" w:space="0" w:color="000000"/>
              <w:right w:val="single" w:sz="4" w:space="0" w:color="000000"/>
            </w:tcBorders>
            <w:hideMark/>
          </w:tcPr>
          <w:p w14:paraId="2C5475CA" w14:textId="77777777" w:rsidR="00304D63" w:rsidRDefault="00304D63" w:rsidP="00304D63">
            <w:pPr>
              <w:jc w:val="center"/>
            </w:pPr>
            <w:r>
              <w:t>Сведения о</w:t>
            </w:r>
          </w:p>
          <w:p w14:paraId="3F378DB7" w14:textId="77777777" w:rsidR="00304D63" w:rsidRDefault="00304D63" w:rsidP="00304D63">
            <w:pPr>
              <w:jc w:val="center"/>
            </w:pPr>
            <w:r>
              <w:t>правоустанавливающих</w:t>
            </w:r>
          </w:p>
          <w:p w14:paraId="1E9F5F9B" w14:textId="51447C52" w:rsidR="00304D63" w:rsidRDefault="00304D63" w:rsidP="00304D63">
            <w:pPr>
              <w:jc w:val="center"/>
            </w:pPr>
            <w:proofErr w:type="gramStart"/>
            <w:r>
              <w:t>документах</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14:paraId="13C982A2" w14:textId="77777777" w:rsidR="00304D63" w:rsidRDefault="00304D63" w:rsidP="00304D63">
            <w:pPr>
              <w:jc w:val="center"/>
            </w:pPr>
            <w:r>
              <w:t>Сведения об обременениях</w:t>
            </w:r>
          </w:p>
          <w:p w14:paraId="6411C504" w14:textId="34A54018" w:rsidR="00304D63" w:rsidRDefault="00304D63" w:rsidP="00304D63">
            <w:pPr>
              <w:jc w:val="center"/>
            </w:pPr>
            <w:r>
              <w:t>третьих лиц</w:t>
            </w:r>
          </w:p>
        </w:tc>
      </w:tr>
      <w:tr w:rsidR="00304D63" w14:paraId="60E5F54C" w14:textId="77777777" w:rsidTr="007E6B8F">
        <w:tc>
          <w:tcPr>
            <w:tcW w:w="426" w:type="dxa"/>
            <w:tcBorders>
              <w:top w:val="single" w:sz="4" w:space="0" w:color="000000"/>
              <w:left w:val="single" w:sz="4" w:space="0" w:color="000000"/>
              <w:bottom w:val="single" w:sz="4" w:space="0" w:color="000000"/>
              <w:right w:val="single" w:sz="4" w:space="0" w:color="000000"/>
            </w:tcBorders>
            <w:hideMark/>
          </w:tcPr>
          <w:p w14:paraId="197182EC" w14:textId="730797A9" w:rsidR="00304D63" w:rsidRDefault="00304D63" w:rsidP="00304D63">
            <w:pPr>
              <w:jc w:val="center"/>
            </w:pPr>
            <w:r>
              <w:t>1</w:t>
            </w:r>
          </w:p>
        </w:tc>
        <w:tc>
          <w:tcPr>
            <w:tcW w:w="2976" w:type="dxa"/>
            <w:tcBorders>
              <w:top w:val="single" w:sz="4" w:space="0" w:color="000000"/>
              <w:left w:val="single" w:sz="4" w:space="0" w:color="000000"/>
              <w:bottom w:val="single" w:sz="4" w:space="0" w:color="000000"/>
              <w:right w:val="single" w:sz="4" w:space="0" w:color="000000"/>
            </w:tcBorders>
          </w:tcPr>
          <w:p w14:paraId="4DB1FCEE" w14:textId="05521114" w:rsidR="00304D63" w:rsidRDefault="00304D63" w:rsidP="00304D63">
            <w:pPr>
              <w:jc w:val="both"/>
            </w:pPr>
            <w:r>
              <w:rPr>
                <w:bCs/>
              </w:rPr>
              <w:t xml:space="preserve">Квартира площадью 53,1 </w:t>
            </w:r>
            <w:proofErr w:type="spellStart"/>
            <w:r>
              <w:rPr>
                <w:bCs/>
              </w:rPr>
              <w:t>кв.м</w:t>
            </w:r>
            <w:proofErr w:type="spellEnd"/>
            <w:r>
              <w:rPr>
                <w:bCs/>
              </w:rPr>
              <w:t xml:space="preserve">. (кадастровый номер 47:21:0000000:5431), адрес: Ленинградская область, </w:t>
            </w:r>
            <w:proofErr w:type="spellStart"/>
            <w:r>
              <w:rPr>
                <w:bCs/>
              </w:rPr>
              <w:t>Кингисеппский</w:t>
            </w:r>
            <w:proofErr w:type="spellEnd"/>
            <w:r>
              <w:rPr>
                <w:bCs/>
              </w:rPr>
              <w:t xml:space="preserve"> район, г. Ивангород, шоссе </w:t>
            </w:r>
            <w:proofErr w:type="spellStart"/>
            <w:r>
              <w:rPr>
                <w:bCs/>
              </w:rPr>
              <w:t>Кингисеппское</w:t>
            </w:r>
            <w:proofErr w:type="spellEnd"/>
            <w:r>
              <w:rPr>
                <w:bCs/>
              </w:rPr>
              <w:t>, д. 24, кв. 29.</w:t>
            </w:r>
          </w:p>
        </w:tc>
        <w:tc>
          <w:tcPr>
            <w:tcW w:w="1560" w:type="dxa"/>
            <w:tcBorders>
              <w:top w:val="single" w:sz="4" w:space="0" w:color="000000"/>
              <w:left w:val="single" w:sz="4" w:space="0" w:color="000000"/>
              <w:bottom w:val="single" w:sz="4" w:space="0" w:color="000000"/>
              <w:right w:val="single" w:sz="4" w:space="0" w:color="000000"/>
            </w:tcBorders>
            <w:hideMark/>
          </w:tcPr>
          <w:p w14:paraId="40410270" w14:textId="388CFEF4" w:rsidR="00304D63" w:rsidRDefault="00304D63" w:rsidP="00304D63">
            <w:pPr>
              <w:jc w:val="center"/>
            </w:pPr>
            <w:r>
              <w:t>3 000 000 (Три миллиона) рублей 00 копеек</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08CC16D" w14:textId="77777777" w:rsidR="00304D63" w:rsidRDefault="00304D63" w:rsidP="00304D63">
            <w:pPr>
              <w:jc w:val="both"/>
            </w:pPr>
            <w:r>
              <w:t>Выписка из ЕГРН. Постановление о передаче не реализованного в принудительном порядке имущества должника взыскателю от 29.09.2022</w:t>
            </w:r>
          </w:p>
          <w:p w14:paraId="19076393" w14:textId="42E552E1" w:rsidR="00304D63" w:rsidRDefault="00304D63" w:rsidP="00304D63">
            <w:pPr>
              <w:jc w:val="both"/>
              <w:rPr>
                <w:i/>
              </w:rPr>
            </w:pPr>
            <w:r>
              <w:t>Акт о передаче не реализованного имущества должника взыскателю от 29.09.2022</w:t>
            </w:r>
          </w:p>
        </w:tc>
        <w:tc>
          <w:tcPr>
            <w:tcW w:w="1417" w:type="dxa"/>
            <w:tcBorders>
              <w:top w:val="single" w:sz="4" w:space="0" w:color="000000"/>
              <w:left w:val="single" w:sz="4" w:space="0" w:color="000000"/>
              <w:bottom w:val="single" w:sz="4" w:space="0" w:color="000000"/>
              <w:right w:val="single" w:sz="4" w:space="0" w:color="000000"/>
            </w:tcBorders>
            <w:vAlign w:val="center"/>
          </w:tcPr>
          <w:p w14:paraId="157FBF98" w14:textId="72A96B3C" w:rsidR="00304D63" w:rsidRDefault="00304D63" w:rsidP="00304D63">
            <w:pPr>
              <w:jc w:val="both"/>
              <w:rPr>
                <w:highlight w:val="yellow"/>
              </w:rPr>
            </w:pPr>
            <w:r>
              <w:t>Обременения отсутствуют</w:t>
            </w:r>
          </w:p>
        </w:tc>
      </w:tr>
    </w:tbl>
    <w:p w14:paraId="3D1D7967" w14:textId="77777777" w:rsidR="009541A8" w:rsidRDefault="009541A8" w:rsidP="00FC2C20">
      <w:pPr>
        <w:ind w:firstLine="709"/>
        <w:jc w:val="both"/>
        <w:rPr>
          <w:sz w:val="24"/>
          <w:szCs w:val="24"/>
        </w:rPr>
      </w:pPr>
    </w:p>
    <w:p w14:paraId="3B3315AC" w14:textId="6A3F0FAD" w:rsidR="00304D63" w:rsidRPr="00304D63" w:rsidRDefault="00304D63" w:rsidP="00304D63">
      <w:pPr>
        <w:ind w:firstLine="709"/>
        <w:jc w:val="both"/>
        <w:rPr>
          <w:spacing w:val="-2"/>
          <w:sz w:val="24"/>
          <w:szCs w:val="24"/>
        </w:rPr>
      </w:pPr>
      <w:r w:rsidRPr="00304D63">
        <w:rPr>
          <w:spacing w:val="-2"/>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По вопросу ознакомления обращаться к представителям Принципала: </w:t>
      </w:r>
    </w:p>
    <w:p w14:paraId="31D33D6E" w14:textId="77777777" w:rsidR="00304D63" w:rsidRPr="00304D63" w:rsidRDefault="00304D63" w:rsidP="00304D63">
      <w:pPr>
        <w:ind w:firstLine="709"/>
        <w:jc w:val="both"/>
        <w:rPr>
          <w:spacing w:val="-2"/>
          <w:sz w:val="24"/>
          <w:szCs w:val="24"/>
        </w:rPr>
      </w:pPr>
      <w:r w:rsidRPr="00304D63">
        <w:rPr>
          <w:spacing w:val="-2"/>
          <w:sz w:val="24"/>
          <w:szCs w:val="24"/>
        </w:rPr>
        <w:t>– Смирнов Анатолий Алексеевич, заместитель начальника отдела по работе с проблемной задолженностью физических лиц Санкт-Петербургского РФ, (812) 775-35-00, доб. 1402, SmirnovAAlek@Spb.rshb.ru;</w:t>
      </w:r>
    </w:p>
    <w:p w14:paraId="3BAE2024" w14:textId="0FE8658D" w:rsidR="00D1412E" w:rsidRDefault="00304D63" w:rsidP="00304D63">
      <w:pPr>
        <w:ind w:firstLine="709"/>
        <w:jc w:val="both"/>
        <w:rPr>
          <w:sz w:val="24"/>
          <w:szCs w:val="24"/>
        </w:rPr>
      </w:pPr>
      <w:r w:rsidRPr="00304D63">
        <w:rPr>
          <w:spacing w:val="-2"/>
          <w:sz w:val="24"/>
          <w:szCs w:val="24"/>
        </w:rPr>
        <w:t xml:space="preserve">– </w:t>
      </w:r>
      <w:proofErr w:type="spellStart"/>
      <w:r w:rsidRPr="00304D63">
        <w:rPr>
          <w:spacing w:val="-2"/>
          <w:sz w:val="24"/>
          <w:szCs w:val="24"/>
        </w:rPr>
        <w:t>Микавтадзе</w:t>
      </w:r>
      <w:proofErr w:type="spellEnd"/>
      <w:r w:rsidRPr="00304D63">
        <w:rPr>
          <w:spacing w:val="-2"/>
          <w:sz w:val="24"/>
          <w:szCs w:val="24"/>
        </w:rPr>
        <w:t xml:space="preserve"> Георгий Анатольевич, главный эксперт отдела по работе с проблемной задолженностью физических лиц Санкт-Петербургского РФ, (812) 775-35-00, доб. 1391, адрес MikavtadzeGA@Spb.rshb.ru.</w:t>
      </w:r>
    </w:p>
    <w:p w14:paraId="668CCBB5" w14:textId="77777777" w:rsidR="00304D63" w:rsidRDefault="00304D63" w:rsidP="00FC2C20">
      <w:pPr>
        <w:ind w:firstLine="709"/>
        <w:jc w:val="center"/>
        <w:rPr>
          <w:b/>
          <w:bCs/>
          <w:sz w:val="24"/>
          <w:szCs w:val="24"/>
        </w:rPr>
      </w:pPr>
    </w:p>
    <w:p w14:paraId="54C0BA9F" w14:textId="10494946" w:rsidR="00BA5672" w:rsidRPr="00B30F50" w:rsidRDefault="00BA5672" w:rsidP="00FC2C20">
      <w:pPr>
        <w:ind w:firstLine="709"/>
        <w:jc w:val="center"/>
        <w:rPr>
          <w:b/>
          <w:bCs/>
          <w:sz w:val="24"/>
          <w:szCs w:val="24"/>
        </w:rPr>
      </w:pPr>
      <w:r w:rsidRPr="00B30F50">
        <w:rPr>
          <w:b/>
          <w:bCs/>
          <w:sz w:val="24"/>
          <w:szCs w:val="24"/>
        </w:rPr>
        <w:t>Порядок проведения торговой процедуры:</w:t>
      </w:r>
    </w:p>
    <w:p w14:paraId="00C450B0" w14:textId="74EA1F9B" w:rsidR="00BA5672" w:rsidRPr="00B30F50"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sidRPr="00B30F50">
        <w:rPr>
          <w:sz w:val="24"/>
          <w:szCs w:val="24"/>
        </w:rPr>
        <w:t xml:space="preserve">1.1. Электронный аукцион «на повышение» – форма проведения Торговой процедуры на повышение Начальной </w:t>
      </w:r>
      <w:proofErr w:type="gramStart"/>
      <w:r w:rsidRPr="00B30F50">
        <w:rPr>
          <w:sz w:val="24"/>
          <w:szCs w:val="24"/>
        </w:rPr>
        <w:t>цены</w:t>
      </w:r>
      <w:proofErr w:type="gramEnd"/>
      <w:r w:rsidRPr="00B30F50">
        <w:rPr>
          <w:sz w:val="24"/>
          <w:szCs w:val="24"/>
        </w:rPr>
        <w:t xml:space="preserve"> </w:t>
      </w:r>
      <w:r w:rsidR="000027B7" w:rsidRPr="00B30F50">
        <w:rPr>
          <w:sz w:val="24"/>
          <w:szCs w:val="24"/>
        </w:rPr>
        <w:t>Имущества</w:t>
      </w:r>
      <w:r w:rsidRPr="00B30F50">
        <w:rPr>
          <w:sz w:val="24"/>
          <w:szCs w:val="24"/>
        </w:rPr>
        <w:t xml:space="preserve"> победителем </w:t>
      </w:r>
      <w:proofErr w:type="gramStart"/>
      <w:r w:rsidRPr="00B30F50">
        <w:rPr>
          <w:sz w:val="24"/>
          <w:szCs w:val="24"/>
        </w:rPr>
        <w:t>которой</w:t>
      </w:r>
      <w:proofErr w:type="gramEnd"/>
      <w:r w:rsidRPr="00B30F50">
        <w:rPr>
          <w:sz w:val="24"/>
          <w:szCs w:val="24"/>
        </w:rPr>
        <w:t xml:space="preserve"> признается Претендент, предложивший наиболее высокую цену за </w:t>
      </w:r>
      <w:r w:rsidR="000027B7" w:rsidRPr="00B30F50">
        <w:rPr>
          <w:sz w:val="24"/>
          <w:szCs w:val="24"/>
        </w:rPr>
        <w:t>Имущество</w:t>
      </w:r>
      <w:r w:rsidRPr="00B30F50">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B30F50" w:rsidRDefault="00BA5672" w:rsidP="009D443C">
      <w:pPr>
        <w:pStyle w:val="51"/>
        <w:shd w:val="clear" w:color="auto" w:fill="auto"/>
        <w:tabs>
          <w:tab w:val="left" w:pos="709"/>
        </w:tabs>
        <w:spacing w:after="0" w:line="264" w:lineRule="auto"/>
        <w:ind w:firstLine="709"/>
        <w:jc w:val="both"/>
        <w:rPr>
          <w:sz w:val="24"/>
          <w:szCs w:val="24"/>
        </w:rPr>
      </w:pPr>
      <w:r w:rsidRPr="00B30F50">
        <w:rPr>
          <w:sz w:val="24"/>
          <w:szCs w:val="24"/>
        </w:rPr>
        <w:t xml:space="preserve">1.2. </w:t>
      </w:r>
      <w:proofErr w:type="gramStart"/>
      <w:r w:rsidRPr="00B30F50">
        <w:rPr>
          <w:sz w:val="24"/>
          <w:szCs w:val="24"/>
        </w:rPr>
        <w:t>Со времени публикации на площадке</w:t>
      </w:r>
      <w:r w:rsidRPr="00B30F50">
        <w:rPr>
          <w:sz w:val="17"/>
          <w:szCs w:val="17"/>
        </w:rPr>
        <w:t xml:space="preserve"> </w:t>
      </w:r>
      <w:r w:rsidRPr="00B30F50">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B30F50">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B30F50">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B30F50">
        <w:rPr>
          <w:sz w:val="24"/>
          <w:szCs w:val="24"/>
        </w:rPr>
        <w:t>;</w:t>
      </w:r>
    </w:p>
    <w:p w14:paraId="4F5C0FBC"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 xml:space="preserve">1.3. В течение </w:t>
      </w:r>
      <w:r w:rsidR="00D74A01" w:rsidRPr="00B30F50">
        <w:rPr>
          <w:sz w:val="24"/>
          <w:szCs w:val="24"/>
        </w:rPr>
        <w:t>30</w:t>
      </w:r>
      <w:r w:rsidR="00C51739" w:rsidRPr="00B30F50">
        <w:rPr>
          <w:sz w:val="24"/>
          <w:szCs w:val="24"/>
        </w:rPr>
        <w:t xml:space="preserve"> минут </w:t>
      </w:r>
      <w:r w:rsidRPr="00B30F50">
        <w:rPr>
          <w:sz w:val="24"/>
          <w:szCs w:val="24"/>
        </w:rPr>
        <w:t xml:space="preserve">со времени начала проведения процедуры аукциона «на повышение» (торгов) </w:t>
      </w:r>
      <w:r w:rsidRPr="00B30F50">
        <w:rPr>
          <w:rFonts w:eastAsiaTheme="minorHAnsi"/>
          <w:sz w:val="24"/>
          <w:szCs w:val="24"/>
        </w:rPr>
        <w:t>участникам</w:t>
      </w:r>
      <w:r w:rsidRPr="00B30F50">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 В случае если в течение указанного времени:</w:t>
      </w:r>
    </w:p>
    <w:p w14:paraId="1CAEDC41" w14:textId="2DFA901C" w:rsidR="00BA5672" w:rsidRPr="00B30F50"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B30F50">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B30F50">
        <w:rPr>
          <w:sz w:val="24"/>
          <w:szCs w:val="24"/>
        </w:rPr>
        <w:t xml:space="preserve">АС Оператора завершает процедуру торгов и переводит извещение в статус торгов – </w:t>
      </w:r>
      <w:r w:rsidRPr="00B30F50">
        <w:rPr>
          <w:color w:val="000000" w:themeColor="text1"/>
          <w:sz w:val="24"/>
          <w:szCs w:val="24"/>
        </w:rPr>
        <w:t>закрыт.</w:t>
      </w:r>
    </w:p>
    <w:p w14:paraId="7B445B70" w14:textId="77777777" w:rsidR="00BA5672" w:rsidRPr="00B30F50"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B30F50">
        <w:rPr>
          <w:sz w:val="24"/>
          <w:szCs w:val="24"/>
        </w:rPr>
        <w:t xml:space="preserve">Предложение о цене Имущества должно подаваться </w:t>
      </w:r>
      <w:r w:rsidRPr="00B30F50">
        <w:t xml:space="preserve">в размере соответствующем шагу </w:t>
      </w:r>
      <w:r w:rsidRPr="00B30F50">
        <w:rPr>
          <w:sz w:val="24"/>
          <w:szCs w:val="24"/>
        </w:rPr>
        <w:t>аукциона «на повышение»</w:t>
      </w:r>
      <w:r w:rsidRPr="00B30F50">
        <w:rPr>
          <w:color w:val="000000" w:themeColor="text1"/>
          <w:sz w:val="24"/>
          <w:szCs w:val="24"/>
        </w:rPr>
        <w:t>.</w:t>
      </w:r>
    </w:p>
    <w:p w14:paraId="0874CFE0"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B30F50"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sidRPr="00B30F50">
        <w:rPr>
          <w:sz w:val="24"/>
          <w:szCs w:val="24"/>
        </w:rPr>
        <w:t xml:space="preserve">1.6 </w:t>
      </w:r>
      <w:r w:rsidRPr="00B30F50">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B30F50">
        <w:rPr>
          <w:sz w:val="24"/>
          <w:szCs w:val="24"/>
        </w:rPr>
        <w:t>дня, следующего за днем проведения торгов передает</w:t>
      </w:r>
      <w:proofErr w:type="gramEnd"/>
      <w:r w:rsidRPr="00B30F50">
        <w:rPr>
          <w:sz w:val="24"/>
          <w:szCs w:val="24"/>
        </w:rPr>
        <w:t xml:space="preserve"> электронный протокол Банку. </w:t>
      </w:r>
    </w:p>
    <w:p w14:paraId="6A431CFA" w14:textId="0820A281" w:rsidR="0029467B" w:rsidRPr="00B30F50" w:rsidRDefault="0029467B" w:rsidP="0029467B">
      <w:pPr>
        <w:ind w:firstLine="708"/>
        <w:jc w:val="both"/>
        <w:rPr>
          <w:sz w:val="24"/>
          <w:szCs w:val="24"/>
        </w:rPr>
      </w:pPr>
      <w:r w:rsidRPr="00B30F50">
        <w:rPr>
          <w:sz w:val="24"/>
          <w:szCs w:val="24"/>
        </w:rPr>
        <w:t xml:space="preserve">1.8. </w:t>
      </w:r>
      <w:proofErr w:type="gramStart"/>
      <w:r w:rsidRPr="00B30F50">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B30F50">
        <w:rPr>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1</w:t>
      </w:r>
      <w:r w:rsidR="000111BC" w:rsidRPr="00B30F50">
        <w:rPr>
          <w:sz w:val="24"/>
          <w:szCs w:val="24"/>
        </w:rPr>
        <w:t>.9</w:t>
      </w:r>
      <w:r w:rsidRPr="00B30F50">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B30F50" w:rsidRDefault="00BA5672" w:rsidP="009D443C">
      <w:pPr>
        <w:pStyle w:val="51"/>
        <w:shd w:val="clear" w:color="auto" w:fill="auto"/>
        <w:tabs>
          <w:tab w:val="left" w:pos="1275"/>
        </w:tabs>
        <w:spacing w:after="0" w:line="264" w:lineRule="auto"/>
        <w:ind w:firstLine="709"/>
        <w:jc w:val="both"/>
        <w:rPr>
          <w:sz w:val="24"/>
          <w:szCs w:val="24"/>
        </w:rPr>
      </w:pPr>
      <w:r w:rsidRPr="00B30F50">
        <w:rPr>
          <w:sz w:val="24"/>
          <w:szCs w:val="24"/>
        </w:rPr>
        <w:t>Аукцион «на повышение» признается несостоявшимся в следующих случаях:</w:t>
      </w:r>
    </w:p>
    <w:p w14:paraId="5E4D4C18" w14:textId="77777777" w:rsidR="00BA5672" w:rsidRPr="00B30F50"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B30F50">
        <w:rPr>
          <w:sz w:val="24"/>
          <w:szCs w:val="24"/>
        </w:rPr>
        <w:t>не было подано ни одной заявки на участие, либо ни один из Претендентов не признан участником;</w:t>
      </w:r>
    </w:p>
    <w:p w14:paraId="566D0CFC"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принято решение о признании только одного Претендента участником;</w:t>
      </w:r>
    </w:p>
    <w:p w14:paraId="3097F857"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B26A6D8"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304D63">
        <w:rPr>
          <w:sz w:val="24"/>
          <w:szCs w:val="24"/>
        </w:rPr>
        <w:t>15</w:t>
      </w:r>
      <w:r w:rsidR="00D1412E" w:rsidRPr="00D1412E">
        <w:rPr>
          <w:sz w:val="24"/>
          <w:szCs w:val="24"/>
        </w:rPr>
        <w:t>0 000 (</w:t>
      </w:r>
      <w:r w:rsidR="00304D63">
        <w:rPr>
          <w:sz w:val="24"/>
          <w:szCs w:val="24"/>
        </w:rPr>
        <w:t xml:space="preserve">сто пятьдесят </w:t>
      </w:r>
      <w:r w:rsidR="00D1412E" w:rsidRPr="00D1412E">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 xml:space="preserve">/откажется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37EEF7AA" w14:textId="77777777" w:rsidR="005611FA" w:rsidRDefault="005611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2151578C" w14:textId="77777777" w:rsidR="00B00BBB" w:rsidRDefault="00B00BBB"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304D63" w14:paraId="637F16E0" w14:textId="77777777" w:rsidTr="00304D63">
        <w:trPr>
          <w:trHeight w:val="416"/>
        </w:trPr>
        <w:tc>
          <w:tcPr>
            <w:tcW w:w="2554" w:type="dxa"/>
            <w:tcBorders>
              <w:top w:val="single" w:sz="4" w:space="0" w:color="auto"/>
              <w:left w:val="single" w:sz="4" w:space="0" w:color="auto"/>
              <w:bottom w:val="single" w:sz="4" w:space="0" w:color="auto"/>
              <w:right w:val="single" w:sz="4" w:space="0" w:color="auto"/>
            </w:tcBorders>
            <w:hideMark/>
          </w:tcPr>
          <w:p w14:paraId="6EE069BA" w14:textId="77777777" w:rsidR="00304D63" w:rsidRDefault="00304D63">
            <w:pPr>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3244FDE1" w14:textId="77777777" w:rsidR="00304D63" w:rsidRDefault="00304D63">
            <w:pPr>
              <w:jc w:val="both"/>
              <w:rPr>
                <w:rFonts w:eastAsiaTheme="minorEastAsia"/>
              </w:rPr>
            </w:pPr>
            <w:r>
              <w:t>Торговая процедура в форме аукциона «на повышение» проводится путем</w:t>
            </w:r>
          </w:p>
          <w:p w14:paraId="1BCC7D94" w14:textId="77777777" w:rsidR="00304D63" w:rsidRDefault="00304D63">
            <w:pPr>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0EFA4C45" w14:textId="77777777" w:rsidR="00304D63" w:rsidRDefault="00304D63">
            <w:pPr>
              <w:jc w:val="both"/>
            </w:pPr>
            <w:r>
              <w:t>Торговая процедура в форме аукциона «на повышение» проводится в дату и</w:t>
            </w:r>
          </w:p>
          <w:p w14:paraId="334C9AB4" w14:textId="77777777" w:rsidR="00304D63" w:rsidRDefault="00304D63">
            <w:pPr>
              <w:jc w:val="both"/>
            </w:pPr>
            <w:r>
              <w:t xml:space="preserve">время, </w:t>
            </w:r>
            <w:proofErr w:type="gramStart"/>
            <w:r>
              <w:t>указанные</w:t>
            </w:r>
            <w:proofErr w:type="gramEnd"/>
            <w:r>
              <w:t xml:space="preserve"> в Извещении.</w:t>
            </w:r>
          </w:p>
          <w:p w14:paraId="1CD7C89B" w14:textId="77777777" w:rsidR="00304D63" w:rsidRDefault="00304D63">
            <w:pPr>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1D37944A" w14:textId="77777777" w:rsidR="00304D63" w:rsidRDefault="00304D63">
            <w:pPr>
              <w:jc w:val="both"/>
            </w:pPr>
            <w:r>
              <w:t>- прием Заявок на участие в Торговой процедуре;</w:t>
            </w:r>
          </w:p>
          <w:p w14:paraId="78409446" w14:textId="77777777" w:rsidR="00304D63" w:rsidRDefault="00304D63">
            <w:pPr>
              <w:jc w:val="both"/>
            </w:pPr>
            <w:r>
              <w:t>- прием обеспечения заявки на участие в Торговой процедуре в форме аукциона «на повышение» от Заявителей;</w:t>
            </w:r>
          </w:p>
          <w:p w14:paraId="608546E0" w14:textId="77777777" w:rsidR="00304D63" w:rsidRDefault="00304D63">
            <w:pPr>
              <w:jc w:val="both"/>
            </w:pPr>
            <w:r>
              <w:t>- рассмотрение заявок, определение состава Претендентов на участие в Торговой процедуре в форме аукциона «на повышение»;</w:t>
            </w:r>
          </w:p>
          <w:p w14:paraId="73FCEC8B" w14:textId="77777777" w:rsidR="00304D63" w:rsidRDefault="00304D63">
            <w:pPr>
              <w:jc w:val="both"/>
            </w:pPr>
            <w:r>
              <w:t>- подведение итогов Торговой процедуры в форме аукциона «на повышение»,</w:t>
            </w:r>
          </w:p>
          <w:p w14:paraId="490B8349" w14:textId="77777777" w:rsidR="00304D63" w:rsidRDefault="00304D63">
            <w:pPr>
              <w:jc w:val="both"/>
            </w:pPr>
            <w:r>
              <w:t>размещение протокола об итогах аукциона «на повышение»;</w:t>
            </w:r>
          </w:p>
          <w:p w14:paraId="59B86BD9" w14:textId="77777777" w:rsidR="00304D63" w:rsidRDefault="00304D63">
            <w:pPr>
              <w:jc w:val="both"/>
            </w:pPr>
            <w:r>
              <w:t xml:space="preserve">- возврат обеспечения заявки на участие в Торговой процедуре </w:t>
            </w:r>
            <w:proofErr w:type="gramStart"/>
            <w:r>
              <w:t>проигравшим</w:t>
            </w:r>
            <w:proofErr w:type="gramEnd"/>
          </w:p>
          <w:p w14:paraId="130E45FE" w14:textId="77777777" w:rsidR="00304D63" w:rsidRDefault="00304D63">
            <w:pPr>
              <w:jc w:val="both"/>
            </w:pPr>
            <w:r>
              <w:t>Претендентам;</w:t>
            </w:r>
          </w:p>
          <w:p w14:paraId="259FD2CE" w14:textId="77777777" w:rsidR="00304D63" w:rsidRDefault="00304D63">
            <w:pPr>
              <w:jc w:val="both"/>
            </w:pPr>
            <w:r>
              <w:t>- перечисление суммы обеспечения заявки на участие в Торговой процедуре</w:t>
            </w:r>
          </w:p>
          <w:p w14:paraId="7F66DEC8" w14:textId="77777777" w:rsidR="00304D63" w:rsidRDefault="00304D63">
            <w:pPr>
              <w:jc w:val="both"/>
            </w:pPr>
            <w:r>
              <w:t>Победителя аукциона «на повышение» Принципалу;</w:t>
            </w:r>
          </w:p>
          <w:p w14:paraId="287D9678" w14:textId="77777777" w:rsidR="00304D63" w:rsidRDefault="00304D63">
            <w:pPr>
              <w:jc w:val="both"/>
            </w:pPr>
            <w:r>
              <w:t>- иные мероприятия, предусмотренные настоящим Договором и</w:t>
            </w:r>
          </w:p>
          <w:p w14:paraId="75023E26" w14:textId="77777777" w:rsidR="00304D63" w:rsidRDefault="00304D63">
            <w:pPr>
              <w:jc w:val="both"/>
            </w:pPr>
            <w:r>
              <w:t>законодательством Российской Федерации.</w:t>
            </w:r>
          </w:p>
          <w:p w14:paraId="72173FB9" w14:textId="77777777" w:rsidR="00304D63" w:rsidRDefault="00304D63">
            <w:pPr>
              <w:jc w:val="both"/>
            </w:pPr>
            <w:r>
              <w:t>Аукцион «на повышение» признается несостоявшимся в следующих случаях:</w:t>
            </w:r>
          </w:p>
          <w:p w14:paraId="00F4893B" w14:textId="77777777" w:rsidR="00304D63" w:rsidRDefault="00304D63">
            <w:pPr>
              <w:jc w:val="both"/>
            </w:pPr>
            <w:r>
              <w:t>- не было подано ни одной заявки на участие либо ни один из Заявителей не</w:t>
            </w:r>
          </w:p>
          <w:p w14:paraId="40415B00" w14:textId="77777777" w:rsidR="00304D63" w:rsidRDefault="00304D63">
            <w:pPr>
              <w:jc w:val="both"/>
            </w:pPr>
            <w:proofErr w:type="gramStart"/>
            <w:r>
              <w:t>признан</w:t>
            </w:r>
            <w:proofErr w:type="gramEnd"/>
            <w:r>
              <w:t xml:space="preserve"> участником аукциона;</w:t>
            </w:r>
          </w:p>
          <w:p w14:paraId="264CDC2E" w14:textId="77777777" w:rsidR="00304D63" w:rsidRDefault="00304D63">
            <w:pPr>
              <w:jc w:val="both"/>
            </w:pPr>
            <w:r>
              <w:t>- принято решение о признании только одного Заявителя участником аукциона;</w:t>
            </w:r>
          </w:p>
          <w:p w14:paraId="6DA79318" w14:textId="77777777" w:rsidR="00304D63" w:rsidRDefault="00304D63">
            <w:pPr>
              <w:jc w:val="both"/>
            </w:pPr>
            <w:r>
              <w:t xml:space="preserve">- ни один из Претендентов не сделал предложение о приобретении объекта </w:t>
            </w:r>
            <w:proofErr w:type="gramStart"/>
            <w:r>
              <w:t>по</w:t>
            </w:r>
            <w:proofErr w:type="gramEnd"/>
          </w:p>
          <w:p w14:paraId="50C2FD5F" w14:textId="77777777" w:rsidR="00304D63" w:rsidRDefault="00304D63">
            <w:pPr>
              <w:tabs>
                <w:tab w:val="left" w:pos="29"/>
              </w:tabs>
              <w:ind w:firstLine="29"/>
              <w:jc w:val="both"/>
              <w:rPr>
                <w:rFonts w:eastAsia="Calibri"/>
              </w:rPr>
            </w:pPr>
            <w:r>
              <w:t>начальной цене продажи.</w:t>
            </w:r>
          </w:p>
        </w:tc>
      </w:tr>
      <w:tr w:rsidR="00304D63" w14:paraId="1D48270B" w14:textId="77777777" w:rsidTr="00304D63">
        <w:tc>
          <w:tcPr>
            <w:tcW w:w="2554" w:type="dxa"/>
            <w:tcBorders>
              <w:top w:val="single" w:sz="4" w:space="0" w:color="auto"/>
              <w:left w:val="single" w:sz="4" w:space="0" w:color="auto"/>
              <w:bottom w:val="single" w:sz="4" w:space="0" w:color="auto"/>
              <w:right w:val="single" w:sz="4" w:space="0" w:color="auto"/>
            </w:tcBorders>
            <w:hideMark/>
          </w:tcPr>
          <w:p w14:paraId="1D9D88C3" w14:textId="77777777" w:rsidR="00304D63" w:rsidRDefault="00304D63">
            <w:pPr>
              <w:jc w:val="both"/>
              <w:rPr>
                <w:rFonts w:eastAsia="Calibri"/>
                <w:b/>
              </w:rPr>
            </w:pPr>
            <w:r>
              <w:rPr>
                <w:rFonts w:eastAsia="Calibri"/>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3F945E35" w14:textId="77777777" w:rsidR="00304D63" w:rsidRDefault="00304D63">
            <w:pPr>
              <w:jc w:val="both"/>
              <w:rPr>
                <w:rFonts w:eastAsiaTheme="minorEastAsia"/>
              </w:rPr>
            </w:pPr>
            <w:r>
              <w:t>Не менее чем за 30 (тридцать) календарных дней до объявленной даты</w:t>
            </w:r>
          </w:p>
          <w:p w14:paraId="39EEE807" w14:textId="77777777" w:rsidR="00304D63" w:rsidRDefault="00304D63">
            <w:pPr>
              <w:tabs>
                <w:tab w:val="left" w:pos="0"/>
                <w:tab w:val="left" w:pos="1276"/>
              </w:tabs>
              <w:jc w:val="both"/>
              <w:outlineLvl w:val="1"/>
            </w:pPr>
            <w:r>
              <w:t>проведения Торговой процедуры в форме аукциона «на повышение».</w:t>
            </w:r>
          </w:p>
        </w:tc>
      </w:tr>
      <w:tr w:rsidR="00304D63" w14:paraId="5C61FFB7" w14:textId="77777777" w:rsidTr="00304D63">
        <w:trPr>
          <w:trHeight w:val="674"/>
        </w:trPr>
        <w:tc>
          <w:tcPr>
            <w:tcW w:w="2554" w:type="dxa"/>
            <w:tcBorders>
              <w:top w:val="single" w:sz="4" w:space="0" w:color="auto"/>
              <w:left w:val="single" w:sz="4" w:space="0" w:color="auto"/>
              <w:bottom w:val="single" w:sz="4" w:space="0" w:color="auto"/>
              <w:right w:val="single" w:sz="4" w:space="0" w:color="auto"/>
            </w:tcBorders>
            <w:hideMark/>
          </w:tcPr>
          <w:p w14:paraId="740E83F2" w14:textId="77777777" w:rsidR="00304D63" w:rsidRDefault="00304D63">
            <w:pPr>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6BE8C888" w14:textId="77777777" w:rsidR="00304D63" w:rsidRDefault="00304D63">
            <w:pPr>
              <w:tabs>
                <w:tab w:val="left" w:pos="0"/>
                <w:tab w:val="left" w:pos="1134"/>
              </w:tabs>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304D63" w14:paraId="38192E8E"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369C087E" w14:textId="77777777" w:rsidR="00304D63" w:rsidRDefault="00304D63">
            <w:pPr>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1AFE8AAA" w14:textId="77777777" w:rsidR="00304D63" w:rsidRDefault="00304D63">
            <w:pPr>
              <w:jc w:val="both"/>
              <w:rPr>
                <w:rFonts w:eastAsiaTheme="minorEastAsia"/>
              </w:rPr>
            </w:pPr>
            <w:r>
              <w:t>Общая продолжительность приема Заявок на участие в Торговых процедурах</w:t>
            </w:r>
          </w:p>
          <w:p w14:paraId="321A5AC6" w14:textId="77777777" w:rsidR="00304D63" w:rsidRDefault="00304D63">
            <w:pPr>
              <w:jc w:val="both"/>
              <w:rPr>
                <w:rFonts w:eastAsia="Calibri"/>
                <w:b/>
              </w:rPr>
            </w:pPr>
            <w:r>
              <w:t xml:space="preserve">должна быть не менее 25 (двадцати пяти) календарных дней с даты, следующей за днем публикации извещения, и заканчиваться не </w:t>
            </w:r>
            <w:proofErr w:type="gramStart"/>
            <w:r>
              <w:t>позднее</w:t>
            </w:r>
            <w:proofErr w:type="gramEnd"/>
            <w:r>
              <w:t xml:space="preserve"> чем за 3 (три) рабочих дня до определения участников, если иное не предусмотрено Заданием.</w:t>
            </w:r>
          </w:p>
        </w:tc>
      </w:tr>
      <w:tr w:rsidR="00304D63" w14:paraId="1821157F"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391BC225" w14:textId="77777777" w:rsidR="00304D63" w:rsidRDefault="00304D63">
            <w:pPr>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78F3E6FF" w14:textId="77777777" w:rsidR="00304D63" w:rsidRDefault="00304D63">
            <w:pPr>
              <w:widowControl w:val="0"/>
              <w:ind w:firstLine="33"/>
              <w:jc w:val="both"/>
              <w:rPr>
                <w:rFonts w:eastAsia="Calibri"/>
              </w:rPr>
            </w:pPr>
            <w:bookmarkStart w:id="7" w:name="OLE_LINK126"/>
            <w:bookmarkStart w:id="8" w:name="OLE_LINK125"/>
            <w:bookmarkStart w:id="9" w:name="OLE_LINK63"/>
            <w:bookmarkStart w:id="10" w:name="OLE_LINK124"/>
            <w:bookmarkStart w:id="11" w:name="OLE_LINK123"/>
            <w:r>
              <w:rPr>
                <w:rFonts w:eastAsia="Calibri"/>
              </w:rPr>
              <w:t xml:space="preserve">- </w:t>
            </w:r>
            <w:bookmarkStart w:id="12" w:name="OLE_LINK128"/>
            <w:bookmarkStart w:id="13"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3FF1B182" w14:textId="77777777" w:rsidR="00304D63" w:rsidRDefault="00304D63">
            <w:pPr>
              <w:widowControl w:val="0"/>
              <w:ind w:firstLine="33"/>
              <w:jc w:val="both"/>
              <w:rPr>
                <w:rFonts w:eastAsia="Calibri"/>
              </w:rPr>
            </w:pPr>
            <w:r>
              <w:rPr>
                <w:rFonts w:eastAsia="Calibri"/>
              </w:rPr>
              <w:t xml:space="preserve">- </w:t>
            </w:r>
            <w:bookmarkStart w:id="14" w:name="OLE_LINK129"/>
            <w:r>
              <w:rPr>
                <w:rFonts w:eastAsia="Calibri"/>
              </w:rPr>
              <w:t>копии учредительных документов, заверенные уполномоченным лицом и печатью общества (юридического лица);</w:t>
            </w:r>
            <w:bookmarkEnd w:id="14"/>
          </w:p>
          <w:p w14:paraId="36339F38" w14:textId="77777777" w:rsidR="00304D63" w:rsidRDefault="00304D63">
            <w:pPr>
              <w:widowControl w:val="0"/>
              <w:ind w:firstLine="33"/>
              <w:jc w:val="both"/>
              <w:rPr>
                <w:rFonts w:eastAsia="Calibri"/>
              </w:rPr>
            </w:pPr>
            <w:bookmarkStart w:id="15"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756FFCC2" w14:textId="77777777" w:rsidR="00304D63" w:rsidRDefault="00304D63">
            <w:pPr>
              <w:widowControl w:val="0"/>
              <w:ind w:firstLine="33"/>
              <w:jc w:val="both"/>
              <w:rPr>
                <w:rFonts w:eastAsia="Calibri"/>
              </w:rPr>
            </w:pPr>
            <w:bookmarkStart w:id="16" w:name="OLE_LINK132"/>
            <w:bookmarkStart w:id="17" w:name="OLE_LINK131"/>
            <w:r>
              <w:rPr>
                <w:rFonts w:eastAsia="Calibri"/>
              </w:rPr>
              <w:t xml:space="preserve">- </w:t>
            </w:r>
            <w:bookmarkStart w:id="18"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00593C99" w14:textId="77874421" w:rsidR="00304D63" w:rsidRDefault="00304D63">
            <w:pPr>
              <w:widowControl w:val="0"/>
              <w:ind w:firstLine="33"/>
              <w:jc w:val="both"/>
              <w:rPr>
                <w:rFonts w:eastAsia="Calibri"/>
              </w:rPr>
            </w:pPr>
            <w:r>
              <w:rPr>
                <w:rFonts w:eastAsia="Calibri"/>
              </w:rPr>
              <w:t xml:space="preserve">- согласие на обработку </w:t>
            </w:r>
            <w:proofErr w:type="spellStart"/>
            <w:r>
              <w:rPr>
                <w:rFonts w:eastAsia="Calibri"/>
              </w:rPr>
              <w:t>ПДн</w:t>
            </w:r>
            <w:proofErr w:type="spellEnd"/>
            <w:r>
              <w:rPr>
                <w:rFonts w:eastAsia="Calibri"/>
              </w:rPr>
              <w:t xml:space="preserve"> (приложение 2 к Торговой документации);</w:t>
            </w:r>
          </w:p>
          <w:p w14:paraId="6440A160" w14:textId="77777777" w:rsidR="00304D63" w:rsidRDefault="00304D63">
            <w:pPr>
              <w:widowControl w:val="0"/>
              <w:ind w:firstLine="33"/>
              <w:jc w:val="both"/>
              <w:rPr>
                <w:rFonts w:eastAsia="Calibri"/>
              </w:rPr>
            </w:pPr>
            <w:bookmarkStart w:id="19" w:name="OLE_LINK134"/>
            <w:r>
              <w:rPr>
                <w:rFonts w:eastAsia="Calibri"/>
              </w:rPr>
              <w:t xml:space="preserve">- опись документов; </w:t>
            </w:r>
            <w:bookmarkStart w:id="20" w:name="OLE_LINK137"/>
            <w:bookmarkStart w:id="21" w:name="OLE_LINK136"/>
            <w:bookmarkStart w:id="22" w:name="OLE_LINK135"/>
            <w:bookmarkEnd w:id="19"/>
            <w:r>
              <w:rPr>
                <w:rFonts w:eastAsia="Calibri"/>
              </w:rPr>
              <w:t xml:space="preserve">необходимые документы, в том числе: </w:t>
            </w:r>
            <w:bookmarkEnd w:id="16"/>
            <w:bookmarkEnd w:id="17"/>
            <w:bookmarkEnd w:id="20"/>
            <w:bookmarkEnd w:id="21"/>
            <w:bookmarkEnd w:id="22"/>
          </w:p>
          <w:p w14:paraId="1E7BC64E" w14:textId="77777777" w:rsidR="00304D63" w:rsidRDefault="00304D63">
            <w:pPr>
              <w:widowControl w:val="0"/>
              <w:ind w:firstLine="33"/>
              <w:jc w:val="both"/>
              <w:rPr>
                <w:rFonts w:eastAsia="Calibri"/>
              </w:rPr>
            </w:pPr>
            <w:bookmarkStart w:id="23" w:name="OLE_LINK138"/>
            <w:r>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rPr>
              <w:t>.</w:t>
            </w:r>
          </w:p>
          <w:p w14:paraId="0D735D6E" w14:textId="77777777" w:rsidR="00304D63" w:rsidRDefault="00304D63">
            <w:pPr>
              <w:widowControl w:val="0"/>
              <w:ind w:firstLine="33"/>
              <w:jc w:val="both"/>
              <w:rPr>
                <w:rFonts w:eastAsia="Calibri"/>
              </w:rPr>
            </w:pPr>
            <w:r>
              <w:rPr>
                <w:rFonts w:eastAsia="Calibri"/>
              </w:rPr>
              <w:t xml:space="preserve">- </w:t>
            </w:r>
            <w:bookmarkStart w:id="24"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4"/>
          </w:p>
          <w:p w14:paraId="1DD3F631" w14:textId="77777777" w:rsidR="00304D63" w:rsidRDefault="00304D63">
            <w:pPr>
              <w:widowControl w:val="0"/>
              <w:ind w:firstLine="33"/>
              <w:jc w:val="both"/>
              <w:rPr>
                <w:rFonts w:eastAsia="Calibri"/>
              </w:rPr>
            </w:pPr>
            <w:r>
              <w:rPr>
                <w:rFonts w:eastAsia="Calibri"/>
              </w:rPr>
              <w:t xml:space="preserve">- </w:t>
            </w:r>
            <w:bookmarkStart w:id="25" w:name="OLE_LINK141"/>
            <w:bookmarkStart w:id="26"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6798763D" w14:textId="77777777" w:rsidR="00304D63" w:rsidRDefault="00304D63">
            <w:pPr>
              <w:widowControl w:val="0"/>
              <w:ind w:firstLine="33"/>
              <w:jc w:val="both"/>
              <w:rPr>
                <w:rFonts w:eastAsia="Calibri"/>
              </w:rPr>
            </w:pPr>
            <w:r>
              <w:rPr>
                <w:rFonts w:eastAsia="Calibri"/>
              </w:rPr>
              <w:t xml:space="preserve">- </w:t>
            </w:r>
            <w:bookmarkStart w:id="27" w:name="OLE_LINK143"/>
            <w:bookmarkStart w:id="28"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5EFCE417" w14:textId="77777777" w:rsidR="00304D63" w:rsidRDefault="00304D63">
            <w:pPr>
              <w:widowControl w:val="0"/>
              <w:ind w:firstLine="33"/>
              <w:jc w:val="both"/>
              <w:rPr>
                <w:rFonts w:eastAsia="Calibri"/>
              </w:rPr>
            </w:pPr>
            <w:r>
              <w:rPr>
                <w:rFonts w:eastAsia="Calibri"/>
              </w:rPr>
              <w:t xml:space="preserve">- </w:t>
            </w:r>
            <w:bookmarkStart w:id="29"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26C72FB5" w14:textId="77777777" w:rsidR="00304D63" w:rsidRDefault="00304D63">
            <w:pPr>
              <w:widowControl w:val="0"/>
              <w:ind w:firstLine="33"/>
              <w:jc w:val="both"/>
              <w:rPr>
                <w:rFonts w:eastAsia="Calibri"/>
              </w:rPr>
            </w:pPr>
            <w:r>
              <w:rPr>
                <w:rFonts w:eastAsia="Calibri"/>
              </w:rPr>
              <w:t xml:space="preserve">- </w:t>
            </w:r>
            <w:bookmarkStart w:id="30" w:name="OLE_LINK147"/>
            <w:bookmarkStart w:id="31" w:name="OLE_LINK146"/>
            <w:bookmarkStart w:id="32" w:name="OLE_LINK145"/>
            <w:r>
              <w:rPr>
                <w:rFonts w:eastAsia="Calibri"/>
              </w:rPr>
              <w:t>документы, подтверждающих финансовое положение Заявителя (оценивается не хуже, чем «среднее»);</w:t>
            </w:r>
            <w:bookmarkEnd w:id="30"/>
            <w:bookmarkEnd w:id="31"/>
            <w:bookmarkEnd w:id="32"/>
          </w:p>
          <w:p w14:paraId="427DF511" w14:textId="77777777" w:rsidR="00304D63" w:rsidRDefault="00304D63">
            <w:pPr>
              <w:widowControl w:val="0"/>
              <w:ind w:firstLine="33"/>
              <w:jc w:val="both"/>
              <w:rPr>
                <w:rFonts w:eastAsia="Calibri"/>
              </w:rPr>
            </w:pPr>
            <w:r>
              <w:rPr>
                <w:rFonts w:eastAsia="Calibri"/>
              </w:rPr>
              <w:t xml:space="preserve">- </w:t>
            </w:r>
            <w:bookmarkStart w:id="33" w:name="OLE_LINK149"/>
            <w:bookmarkStart w:id="34"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752F5D7F" w14:textId="77777777" w:rsidR="00304D63" w:rsidRDefault="00304D63">
            <w:pPr>
              <w:widowControl w:val="0"/>
              <w:ind w:firstLine="33"/>
              <w:jc w:val="both"/>
              <w:rPr>
                <w:rFonts w:eastAsia="Calibri"/>
              </w:rPr>
            </w:pPr>
            <w:bookmarkStart w:id="35" w:name="OLE_LINK150"/>
            <w:r>
              <w:rPr>
                <w:rFonts w:eastAsia="Calibri"/>
              </w:rPr>
              <w:t>- Надлежащим образом заверенные копии следующих документов:</w:t>
            </w:r>
            <w:bookmarkEnd w:id="35"/>
          </w:p>
          <w:p w14:paraId="3522C68D" w14:textId="77777777" w:rsidR="00304D63" w:rsidRDefault="00304D63">
            <w:pPr>
              <w:widowControl w:val="0"/>
              <w:ind w:firstLine="33"/>
              <w:jc w:val="both"/>
              <w:rPr>
                <w:rFonts w:eastAsia="Calibri"/>
              </w:rPr>
            </w:pPr>
            <w:bookmarkStart w:id="36" w:name="OLE_LINK152"/>
            <w:bookmarkStart w:id="37"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227DAFA" w14:textId="77777777" w:rsidR="00304D63" w:rsidRDefault="00304D63">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1E0874CD" w14:textId="77777777" w:rsidR="00304D63" w:rsidRDefault="00304D63">
            <w:pPr>
              <w:widowControl w:val="0"/>
              <w:ind w:firstLine="33"/>
              <w:jc w:val="both"/>
              <w:rPr>
                <w:rFonts w:eastAsia="Calibri"/>
              </w:rPr>
            </w:pPr>
            <w:r>
              <w:rPr>
                <w:rFonts w:eastAsia="Calibri"/>
              </w:rPr>
              <w:t xml:space="preserve">- </w:t>
            </w:r>
            <w:proofErr w:type="gramStart"/>
            <w:r>
              <w:rPr>
                <w:rFonts w:eastAsia="Calibri"/>
              </w:rPr>
              <w:t>д</w:t>
            </w:r>
            <w:proofErr w:type="gramEnd"/>
            <w:r>
              <w:rPr>
                <w:rFonts w:eastAsia="Calibri"/>
              </w:rPr>
              <w:t>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57596FE" w14:textId="77777777" w:rsidR="00304D63" w:rsidRDefault="00304D63">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4B2E62CB" w14:textId="77777777" w:rsidR="00304D63" w:rsidRDefault="00304D63">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D90DB63" w14:textId="77777777" w:rsidR="00304D63" w:rsidRDefault="00304D63">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493D5668" w14:textId="77777777" w:rsidR="00304D63" w:rsidRDefault="00304D63">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128ADC5" w14:textId="77777777" w:rsidR="00304D63" w:rsidRDefault="00304D63">
            <w:pPr>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rPr>
              <w:t>.</w:t>
            </w:r>
            <w:bookmarkEnd w:id="9"/>
            <w:bookmarkEnd w:id="10"/>
            <w:bookmarkEnd w:id="11"/>
            <w:bookmarkEnd w:id="36"/>
            <w:bookmarkEnd w:id="37"/>
          </w:p>
          <w:p w14:paraId="209F3E2D" w14:textId="77777777" w:rsidR="00304D63" w:rsidRDefault="00304D63">
            <w:pPr>
              <w:jc w:val="both"/>
              <w:rPr>
                <w:rFonts w:eastAsiaTheme="minorEastAsia"/>
              </w:rPr>
            </w:pPr>
          </w:p>
        </w:tc>
      </w:tr>
      <w:tr w:rsidR="00304D63" w14:paraId="05BBECCC"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4842781C" w14:textId="77777777" w:rsidR="00304D63" w:rsidRDefault="00304D63">
            <w:pPr>
              <w:jc w:val="both"/>
              <w:rPr>
                <w:rFonts w:eastAsia="Calibri"/>
              </w:rPr>
            </w:pPr>
            <w:r>
              <w:rPr>
                <w:rFonts w:eastAsia="Calibri"/>
              </w:rPr>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3906B53F" w14:textId="77777777" w:rsidR="00304D63" w:rsidRDefault="00304D63">
            <w:pPr>
              <w:tabs>
                <w:tab w:val="left" w:pos="272"/>
              </w:tabs>
              <w:jc w:val="both"/>
              <w:rPr>
                <w:rFonts w:eastAsiaTheme="minorEastAsia"/>
              </w:rPr>
            </w:pPr>
            <w:r>
              <w:t>1. В отношении Нового кредитора - юридического лица:</w:t>
            </w:r>
          </w:p>
          <w:p w14:paraId="5163FB04" w14:textId="77777777" w:rsidR="00304D63" w:rsidRDefault="00304D63">
            <w:pPr>
              <w:tabs>
                <w:tab w:val="left" w:pos="272"/>
              </w:tabs>
              <w:jc w:val="both"/>
            </w:pPr>
            <w:r>
              <w:t xml:space="preserve">1.1. </w:t>
            </w:r>
            <w:proofErr w:type="gramStart"/>
            <w: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03A1AD16" w14:textId="77777777" w:rsidR="00304D63" w:rsidRDefault="00304D63">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6C79D64B" w14:textId="77777777" w:rsidR="00304D63" w:rsidRDefault="00304D63">
            <w:pPr>
              <w:tabs>
                <w:tab w:val="left" w:pos="272"/>
              </w:tabs>
              <w:jc w:val="both"/>
            </w:pPr>
            <w:r>
              <w:t>1.3. Отсутствие информации о незавершенной реорганизации и процедуре ликвидации Нового кредитора.</w:t>
            </w:r>
          </w:p>
          <w:p w14:paraId="191EE905" w14:textId="77777777" w:rsidR="00304D63" w:rsidRDefault="00304D63">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51DE1C56" w14:textId="77777777" w:rsidR="00304D63" w:rsidRDefault="00304D63">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0F1FFEF" w14:textId="77777777" w:rsidR="00304D63" w:rsidRDefault="00304D63">
            <w:pPr>
              <w:tabs>
                <w:tab w:val="left" w:pos="272"/>
              </w:tabs>
              <w:jc w:val="both"/>
            </w:pPr>
            <w:r>
              <w:t>2. В отношении Нового кредитора - физического лица:</w:t>
            </w:r>
          </w:p>
          <w:p w14:paraId="6EF454DB" w14:textId="77777777" w:rsidR="00304D63" w:rsidRDefault="00304D63">
            <w:pPr>
              <w:tabs>
                <w:tab w:val="left" w:pos="272"/>
              </w:tabs>
              <w:jc w:val="both"/>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2E683804" w14:textId="77777777" w:rsidR="00304D63" w:rsidRDefault="00304D63">
            <w:pPr>
              <w:tabs>
                <w:tab w:val="left" w:pos="272"/>
              </w:tabs>
              <w:jc w:val="both"/>
            </w:pPr>
            <w:r>
              <w:t>- отсутствия возбужденных исполнительных производств;</w:t>
            </w:r>
          </w:p>
          <w:p w14:paraId="6F39BF00" w14:textId="77777777" w:rsidR="00304D63" w:rsidRDefault="00304D63">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5616321" w14:textId="77777777" w:rsidR="00304D63" w:rsidRDefault="00304D63">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424B3D7" w14:textId="77777777" w:rsidR="00304D63" w:rsidRDefault="00304D63">
            <w:pPr>
              <w:tabs>
                <w:tab w:val="left" w:pos="272"/>
              </w:tabs>
              <w:jc w:val="both"/>
            </w:pPr>
            <w:r>
              <w:t>- отсутствия по месту регистрации Нового кредитора исков о взыскании, заявлений имущественного характера;</w:t>
            </w:r>
          </w:p>
          <w:p w14:paraId="1F142A8E" w14:textId="77777777" w:rsidR="00304D63" w:rsidRDefault="00304D63">
            <w:pPr>
              <w:tabs>
                <w:tab w:val="left" w:pos="272"/>
              </w:tabs>
              <w:jc w:val="both"/>
            </w:pPr>
            <w:r>
              <w:t xml:space="preserve">- отсутствия иных </w:t>
            </w:r>
            <w:proofErr w:type="spellStart"/>
            <w:r>
              <w:t>правопритязаний</w:t>
            </w:r>
            <w:proofErr w:type="spellEnd"/>
            <w:r>
              <w:t xml:space="preserve"> третьих лиц к Новому кредитору;</w:t>
            </w:r>
          </w:p>
          <w:p w14:paraId="63B14F31" w14:textId="77777777" w:rsidR="00304D63" w:rsidRDefault="00304D63">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4380131" w14:textId="77777777" w:rsidR="00304D63" w:rsidRDefault="00304D63">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39267FB" w14:textId="77777777" w:rsidR="00304D63" w:rsidRDefault="00304D63">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72ABBDFB" w14:textId="77777777" w:rsidR="00304D63" w:rsidRDefault="00304D63">
            <w:pPr>
              <w:tabs>
                <w:tab w:val="left" w:pos="272"/>
              </w:tabs>
              <w:jc w:val="both"/>
            </w:pPr>
            <w:r>
              <w:t>3. Общие требования:</w:t>
            </w:r>
          </w:p>
          <w:p w14:paraId="41A4300F" w14:textId="77777777" w:rsidR="00304D63" w:rsidRDefault="00304D63">
            <w:pPr>
              <w:tabs>
                <w:tab w:val="left" w:pos="272"/>
              </w:tabs>
              <w:jc w:val="both"/>
            </w:pPr>
            <w:r>
              <w:t>3.1. Отсутствие у Нового кредитора ссудной задолженности перед Кредитором.</w:t>
            </w:r>
          </w:p>
          <w:p w14:paraId="52D47C40" w14:textId="77777777" w:rsidR="00304D63" w:rsidRDefault="00304D63">
            <w:pPr>
              <w:tabs>
                <w:tab w:val="left" w:pos="272"/>
              </w:tabs>
              <w:jc w:val="both"/>
            </w:pPr>
            <w:r>
              <w:t xml:space="preserve">3.2. Отсутствие в отношении Нового кредитора/ лица, предоставляющего </w:t>
            </w:r>
            <w:proofErr w:type="spellStart"/>
            <w:r>
              <w:t>зай</w:t>
            </w:r>
            <w:proofErr w:type="gramStart"/>
            <w:r>
              <w:t>м</w:t>
            </w:r>
            <w:proofErr w:type="spellEnd"/>
            <w:r>
              <w:t>(</w:t>
            </w:r>
            <w:proofErr w:type="gramEnd"/>
            <w:r>
              <w:t>-ы) Новому кредитору:</w:t>
            </w:r>
          </w:p>
          <w:p w14:paraId="3CAF840F" w14:textId="77777777" w:rsidR="00304D63" w:rsidRDefault="00304D63">
            <w:pPr>
              <w:tabs>
                <w:tab w:val="left" w:pos="272"/>
              </w:tabs>
              <w:jc w:val="both"/>
            </w:pPr>
            <w:r>
              <w:t>- негативной информации;</w:t>
            </w:r>
          </w:p>
          <w:p w14:paraId="346A0100" w14:textId="77777777" w:rsidR="00304D63" w:rsidRDefault="00304D63">
            <w:pPr>
              <w:tabs>
                <w:tab w:val="left" w:pos="272"/>
              </w:tabs>
              <w:jc w:val="both"/>
            </w:pPr>
            <w:r>
              <w:t xml:space="preserve">- данных об </w:t>
            </w:r>
            <w:proofErr w:type="spellStart"/>
            <w:r>
              <w:t>аффилированности</w:t>
            </w:r>
            <w:proofErr w:type="spellEnd"/>
            <w:r>
              <w:t xml:space="preserve"> Нового кредитора/ лица, предоставляющего Новому кредитору </w:t>
            </w:r>
            <w:proofErr w:type="spellStart"/>
            <w:r>
              <w:t>зай</w:t>
            </w:r>
            <w:proofErr w:type="gramStart"/>
            <w:r>
              <w:t>м</w:t>
            </w:r>
            <w:proofErr w:type="spellEnd"/>
            <w:r>
              <w:t>(</w:t>
            </w:r>
            <w:proofErr w:type="gramEnd"/>
            <w:r>
              <w:t>-ы), к Должникам, Кредитору.</w:t>
            </w:r>
          </w:p>
          <w:p w14:paraId="61B536C3" w14:textId="77777777" w:rsidR="00304D63" w:rsidRDefault="00304D63">
            <w:pPr>
              <w:tabs>
                <w:tab w:val="left" w:pos="272"/>
              </w:tabs>
              <w:jc w:val="both"/>
            </w:pPr>
            <w:r>
              <w:t>Подтверждается службой безопасности Филиала.</w:t>
            </w:r>
          </w:p>
          <w:p w14:paraId="0002C7E9" w14:textId="77777777" w:rsidR="00304D63" w:rsidRDefault="00304D63">
            <w:pPr>
              <w:widowControl w:val="0"/>
              <w:ind w:firstLine="33"/>
              <w:jc w:val="both"/>
              <w:rPr>
                <w:rFonts w:eastAsia="Calibri"/>
              </w:rPr>
            </w:pPr>
            <w:r>
              <w:t>3.3. Отсутствие в числе аффилированных Новому кредитору лиц заемщиков Кредитора.</w:t>
            </w:r>
          </w:p>
        </w:tc>
      </w:tr>
      <w:tr w:rsidR="00304D63" w14:paraId="23EA1405"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1577F59A" w14:textId="77777777" w:rsidR="00304D63" w:rsidRDefault="00304D63">
            <w:pPr>
              <w:jc w:val="both"/>
              <w:rPr>
                <w:rFonts w:eastAsia="Calibri"/>
              </w:rPr>
            </w:pPr>
            <w:r>
              <w:rPr>
                <w:rFonts w:eastAsia="Calibri"/>
              </w:rPr>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3615CBB1" w14:textId="77777777" w:rsidR="00304D63" w:rsidRDefault="00304D63">
            <w:pPr>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7D340F40" w14:textId="77777777" w:rsidR="00304D63" w:rsidRDefault="00304D63">
            <w:pPr>
              <w:jc w:val="both"/>
            </w:pPr>
            <w:r>
              <w:t>Организатор торгов отказывает Заявителю в приеме и регистрации Заявки на участие в Торговых процедурах в следующих случаях:</w:t>
            </w:r>
          </w:p>
          <w:p w14:paraId="513A152B" w14:textId="77777777" w:rsidR="00304D63" w:rsidRDefault="00304D63">
            <w:pPr>
              <w:jc w:val="both"/>
            </w:pPr>
            <w:r>
              <w:t xml:space="preserve">-Заявка </w:t>
            </w:r>
            <w:proofErr w:type="gramStart"/>
            <w:r>
              <w:t>на участие в Торговой процедуре подана по истечении срока приема заявок на участие в торгах</w:t>
            </w:r>
            <w:proofErr w:type="gramEnd"/>
            <w:r>
              <w:t>, указанного в Извещении;</w:t>
            </w:r>
          </w:p>
          <w:p w14:paraId="3C4AE378" w14:textId="77777777" w:rsidR="00304D63" w:rsidRDefault="00304D63">
            <w:pPr>
              <w:jc w:val="both"/>
            </w:pPr>
            <w:r>
              <w:t>-Заявка на участие в Торговой процедуре подана лицом, не уполномоченным действовать от имени Заявителя;</w:t>
            </w:r>
          </w:p>
          <w:p w14:paraId="20054C0F" w14:textId="77777777" w:rsidR="00304D63" w:rsidRDefault="00304D63">
            <w:pPr>
              <w:jc w:val="both"/>
            </w:pPr>
            <w:r>
              <w:t>-не представлены документы, перечисленные в Извещении;</w:t>
            </w:r>
          </w:p>
          <w:p w14:paraId="0643B0A6" w14:textId="77777777" w:rsidR="00304D63" w:rsidRDefault="00304D63">
            <w:pPr>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DDC7192" w14:textId="77777777" w:rsidR="00304D63" w:rsidRDefault="00304D63">
            <w:pPr>
              <w:jc w:val="both"/>
            </w:pPr>
            <w:r>
              <w:t>-поступление задатка на один из счетов, указанных в Извещении, не подтверждено на момент завершения периода приема задатков;</w:t>
            </w:r>
          </w:p>
          <w:p w14:paraId="3CFDE0C1" w14:textId="77777777" w:rsidR="00304D63" w:rsidRDefault="00304D63">
            <w:pPr>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2A4298C" w14:textId="77777777" w:rsidR="00304D63" w:rsidRDefault="00304D63">
            <w:pPr>
              <w:jc w:val="both"/>
            </w:pPr>
            <w:r>
              <w:t xml:space="preserve">-финансовое состояние Заявителя будет признано Банком неудовлетворяющим требованиям Банка к покупателю прав требований; </w:t>
            </w:r>
          </w:p>
          <w:p w14:paraId="1EDACD1B" w14:textId="77777777" w:rsidR="00304D63" w:rsidRDefault="00304D63">
            <w:pPr>
              <w:jc w:val="both"/>
            </w:pPr>
            <w:r>
              <w:t xml:space="preserve">-выявления негативной информации в отношении Заявителя/лица, предоставляющего </w:t>
            </w:r>
            <w:proofErr w:type="spellStart"/>
            <w:r>
              <w:t>займ</w:t>
            </w:r>
            <w:proofErr w:type="spellEnd"/>
            <w:proofErr w:type="gramStart"/>
            <w:r>
              <w:t xml:space="preserve"> (-</w:t>
            </w:r>
            <w:proofErr w:type="gramEnd"/>
            <w:r>
              <w:t>ы) Заявителю;</w:t>
            </w:r>
          </w:p>
          <w:p w14:paraId="4AFB585A" w14:textId="77777777" w:rsidR="00304D63" w:rsidRDefault="00304D63">
            <w:pPr>
              <w:jc w:val="both"/>
            </w:pPr>
            <w:r>
              <w:t xml:space="preserve">-выявление признаков </w:t>
            </w:r>
            <w:proofErr w:type="spellStart"/>
            <w:r>
              <w:t>аффилированности</w:t>
            </w:r>
            <w:proofErr w:type="spellEnd"/>
            <w:r>
              <w:t xml:space="preserve"> Заявителя/ лица, предоставляющего </w:t>
            </w:r>
            <w:proofErr w:type="spellStart"/>
            <w:r>
              <w:t>займ</w:t>
            </w:r>
            <w:proofErr w:type="spellEnd"/>
            <w:proofErr w:type="gramStart"/>
            <w:r>
              <w:t xml:space="preserve"> (-</w:t>
            </w:r>
            <w:proofErr w:type="gramEnd"/>
            <w:r>
              <w:t>ы) Заявителя к Банку, Должникам;</w:t>
            </w:r>
          </w:p>
          <w:p w14:paraId="277962D7" w14:textId="77777777" w:rsidR="00304D63" w:rsidRDefault="00304D63">
            <w:pPr>
              <w:jc w:val="both"/>
            </w:pPr>
            <w:r>
              <w:t>-выявление в числе аффилированных Заявителю лиц-заемщиков Кредитора;</w:t>
            </w:r>
          </w:p>
          <w:p w14:paraId="76D1AC64" w14:textId="77777777" w:rsidR="00304D63" w:rsidRDefault="00304D63">
            <w:pPr>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4CF73CF" w14:textId="77777777" w:rsidR="00304D63" w:rsidRDefault="00304D63">
            <w:pPr>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59AB33B" w14:textId="77777777" w:rsidR="00304D63" w:rsidRDefault="00304D63">
            <w:pPr>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ADA888C" w14:textId="77777777" w:rsidR="00304D63" w:rsidRDefault="00304D63">
            <w:pPr>
              <w:jc w:val="both"/>
            </w:pPr>
            <w:r>
              <w:t>-выявления информации о незавершенной реорганизации и процедуре ликвидации Заявителя.</w:t>
            </w:r>
          </w:p>
          <w:p w14:paraId="4CB5197B" w14:textId="77777777" w:rsidR="00304D63" w:rsidRDefault="00304D63">
            <w:pPr>
              <w:jc w:val="both"/>
            </w:pPr>
            <w:r>
              <w:t>-выявления в отношении Заявителя – физического лица возбужденных исполнительных производств на сумму более 100 000 рублей.</w:t>
            </w:r>
          </w:p>
          <w:p w14:paraId="5A9F6D7B" w14:textId="77777777" w:rsidR="00304D63" w:rsidRDefault="00304D63">
            <w:pPr>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137F3CE" w14:textId="77777777" w:rsidR="00304D63" w:rsidRDefault="00304D63">
            <w:pPr>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A9103CC" w14:textId="77777777" w:rsidR="00304D63" w:rsidRDefault="00304D63">
            <w:pPr>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384B7A68" w14:textId="77777777" w:rsidR="00304D63" w:rsidRDefault="00304D63">
            <w:pPr>
              <w:jc w:val="both"/>
            </w:pPr>
            <w:r>
              <w:t xml:space="preserve">-выявления в отношении Заявителя – физического лица иных </w:t>
            </w:r>
            <w:proofErr w:type="spellStart"/>
            <w:r>
              <w:t>правопритязаний</w:t>
            </w:r>
            <w:proofErr w:type="spellEnd"/>
            <w:r>
              <w:t xml:space="preserve"> третьих лиц к Заявителю;</w:t>
            </w:r>
          </w:p>
          <w:p w14:paraId="42A3C4B1" w14:textId="77777777" w:rsidR="00304D63" w:rsidRDefault="00304D63">
            <w:pPr>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FBD9D22" w14:textId="77777777" w:rsidR="00304D63" w:rsidRDefault="00304D63">
            <w:pPr>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841EB3B" w14:textId="77777777" w:rsidR="00304D63" w:rsidRDefault="00304D63">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304D63" w14:paraId="2621D24C"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660ED8A2" w14:textId="77777777" w:rsidR="00304D63" w:rsidRDefault="00304D63">
            <w:pPr>
              <w:jc w:val="both"/>
              <w:rPr>
                <w:rFonts w:eastAsia="Calibri"/>
              </w:rPr>
            </w:pPr>
            <w:r>
              <w:rPr>
                <w:rFonts w:eastAsia="Calibri"/>
              </w:rPr>
              <w:t>Критерии определения Победителя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6299B05E" w14:textId="453E969D" w:rsidR="00304D63" w:rsidRPr="00304D63" w:rsidRDefault="00304D63">
            <w:pPr>
              <w:pStyle w:val="a6"/>
              <w:tabs>
                <w:tab w:val="left" w:pos="426"/>
                <w:tab w:val="left" w:pos="1560"/>
              </w:tabs>
              <w:spacing w:line="276" w:lineRule="auto"/>
              <w:ind w:left="0"/>
              <w:jc w:val="both"/>
              <w:outlineLvl w:val="1"/>
              <w:rPr>
                <w:sz w:val="20"/>
                <w:szCs w:val="20"/>
              </w:rPr>
            </w:pPr>
            <w:r w:rsidRPr="00304D63">
              <w:rPr>
                <w:sz w:val="20"/>
                <w:szCs w:val="20"/>
              </w:rPr>
              <w:t xml:space="preserve">Победителем признается участник аукциона, предложивший наиболее высокую цену за </w:t>
            </w:r>
            <w:r>
              <w:rPr>
                <w:sz w:val="20"/>
                <w:szCs w:val="20"/>
              </w:rPr>
              <w:t xml:space="preserve">имущество </w:t>
            </w:r>
            <w:r w:rsidRPr="00304D63">
              <w:rPr>
                <w:sz w:val="20"/>
                <w:szCs w:val="20"/>
              </w:rPr>
              <w:t>Банка.</w:t>
            </w:r>
          </w:p>
          <w:p w14:paraId="3D0FE71B" w14:textId="77777777" w:rsidR="00304D63" w:rsidRDefault="00304D63">
            <w:pPr>
              <w:tabs>
                <w:tab w:val="left" w:pos="272"/>
              </w:tabs>
              <w:jc w:val="both"/>
            </w:pPr>
            <w:r>
              <w:rPr>
                <w:rFonts w:eastAsia="Calibri"/>
                <w:bCs/>
                <w:lang w:eastAsia="en-US"/>
              </w:rPr>
              <w:t>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304D63" w14:paraId="23FA1C0F" w14:textId="77777777" w:rsidTr="00304D63">
        <w:trPr>
          <w:trHeight w:val="684"/>
        </w:trPr>
        <w:tc>
          <w:tcPr>
            <w:tcW w:w="2554" w:type="dxa"/>
            <w:tcBorders>
              <w:top w:val="single" w:sz="4" w:space="0" w:color="auto"/>
              <w:left w:val="single" w:sz="4" w:space="0" w:color="auto"/>
              <w:bottom w:val="single" w:sz="4" w:space="0" w:color="auto"/>
              <w:right w:val="single" w:sz="4" w:space="0" w:color="auto"/>
            </w:tcBorders>
            <w:hideMark/>
          </w:tcPr>
          <w:p w14:paraId="7A8D7F21" w14:textId="6AC951B7" w:rsidR="00304D63" w:rsidRDefault="00304D63">
            <w:pPr>
              <w:jc w:val="both"/>
              <w:rPr>
                <w:rFonts w:eastAsia="Calibri"/>
              </w:rPr>
            </w:pPr>
            <w:r>
              <w:rPr>
                <w:rFonts w:eastAsia="Calibri"/>
              </w:rPr>
              <w:t>Порядок заключения договора купли-продажи имущества</w:t>
            </w:r>
          </w:p>
        </w:tc>
        <w:tc>
          <w:tcPr>
            <w:tcW w:w="7051" w:type="dxa"/>
            <w:tcBorders>
              <w:top w:val="single" w:sz="4" w:space="0" w:color="auto"/>
              <w:left w:val="single" w:sz="4" w:space="0" w:color="auto"/>
              <w:bottom w:val="single" w:sz="4" w:space="0" w:color="auto"/>
              <w:right w:val="single" w:sz="4" w:space="0" w:color="auto"/>
            </w:tcBorders>
            <w:hideMark/>
          </w:tcPr>
          <w:p w14:paraId="215306CE" w14:textId="4EF693D8" w:rsidR="00304D63" w:rsidRDefault="00304D63">
            <w:pPr>
              <w:jc w:val="both"/>
              <w:rPr>
                <w:rFonts w:eastAsiaTheme="minorEastAsia"/>
              </w:rPr>
            </w:pPr>
            <w:r>
              <w:t xml:space="preserve">Заключение договора </w:t>
            </w:r>
            <w:r w:rsidRPr="00304D63">
              <w:t>купли-продажи имущества</w:t>
            </w:r>
            <w:r>
              <w:t xml:space="preserve"> между Банком и Победителем открытого аукциона </w:t>
            </w:r>
            <w:proofErr w:type="gramStart"/>
            <w:r>
              <w:t>по составу участников с открытой формой подачи предложения о цене с применением метода повышения цены в электронной форме</w:t>
            </w:r>
            <w:proofErr w:type="gramEnd"/>
            <w:r>
              <w:t xml:space="preserve">, осуществляется </w:t>
            </w:r>
            <w:r w:rsidRPr="00304D63">
              <w:t>не позднее 5 (пяти) рабочих дней со дня размещения протокола о признании результатов торговой процедуры</w:t>
            </w:r>
            <w:r>
              <w:t xml:space="preserve">. </w:t>
            </w:r>
          </w:p>
          <w:p w14:paraId="0938E362" w14:textId="3A558713" w:rsidR="00304D63" w:rsidRDefault="00304D63">
            <w:pPr>
              <w:jc w:val="both"/>
            </w:pPr>
            <w: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купли-продажи </w:t>
            </w:r>
            <w:proofErr w:type="gramStart"/>
            <w:r>
              <w:t>заключается</w:t>
            </w:r>
            <w:proofErr w:type="gramEnd"/>
            <w:r>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6677D235" w14:textId="7AFA42F5" w:rsidR="00304D63" w:rsidRDefault="00304D63">
            <w:pPr>
              <w:jc w:val="both"/>
            </w:pPr>
            <w:r>
              <w:t xml:space="preserve">Если Победитель Торговой процедуры в установленный срок не подпишет Договор </w:t>
            </w:r>
            <w:r w:rsidRPr="00304D63">
              <w:t>купли-продажи имущества</w:t>
            </w:r>
            <w:r>
              <w:t>, Банк имеет право в дальнейшем отказать ему в заключени</w:t>
            </w:r>
            <w:proofErr w:type="gramStart"/>
            <w:r>
              <w:t>и</w:t>
            </w:r>
            <w:proofErr w:type="gramEnd"/>
            <w:r>
              <w:t xml:space="preserve"> Договора </w:t>
            </w:r>
            <w:r w:rsidRPr="00304D63">
              <w:t>купли-продажи имущества</w:t>
            </w:r>
            <w:r>
              <w:t xml:space="preserve">, либо обратиться в суд с требованием о понуждении заключить Договор </w:t>
            </w:r>
            <w:r w:rsidRPr="00304D63">
              <w:t>купли-продажи имущества</w:t>
            </w:r>
            <w:r>
              <w:t xml:space="preserve">, а также о возмещении убытков, причиненных уклонением от его заключения. </w:t>
            </w:r>
          </w:p>
          <w:p w14:paraId="1DC83085" w14:textId="77777777" w:rsidR="00304D63" w:rsidRDefault="00304D63">
            <w:pPr>
              <w:tabs>
                <w:tab w:val="left" w:pos="272"/>
              </w:tabs>
              <w:jc w:val="both"/>
            </w:pPr>
            <w: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17DD1BEA" w14:textId="77777777" w:rsidR="00B00BBB" w:rsidRDefault="00B00BBB" w:rsidP="00C470A9">
      <w:pPr>
        <w:rPr>
          <w:rFonts w:eastAsia="Calibri"/>
          <w:sz w:val="22"/>
          <w:szCs w:val="22"/>
          <w:lang w:eastAsia="en-US"/>
        </w:rPr>
      </w:pPr>
    </w:p>
    <w:p w14:paraId="317C8953" w14:textId="77777777" w:rsidR="00B00BBB" w:rsidRDefault="00B00BBB" w:rsidP="00C470A9">
      <w:pPr>
        <w:rPr>
          <w:rFonts w:eastAsia="Calibri"/>
          <w:sz w:val="22"/>
          <w:szCs w:val="22"/>
          <w:lang w:eastAsia="en-US"/>
        </w:rPr>
      </w:pPr>
    </w:p>
    <w:p w14:paraId="3353A3EB" w14:textId="77777777" w:rsidR="00B00BBB" w:rsidRDefault="00B00BBB" w:rsidP="00C470A9">
      <w:pPr>
        <w:rPr>
          <w:rFonts w:eastAsia="Calibri"/>
          <w:sz w:val="22"/>
          <w:szCs w:val="22"/>
          <w:lang w:eastAsia="en-US"/>
        </w:rPr>
      </w:pPr>
    </w:p>
    <w:p w14:paraId="4444719F" w14:textId="77777777" w:rsidR="00B00BBB" w:rsidRDefault="00B00BBB" w:rsidP="00C470A9">
      <w:pPr>
        <w:rPr>
          <w:rFonts w:eastAsia="Calibri"/>
          <w:sz w:val="22"/>
          <w:szCs w:val="22"/>
          <w:lang w:eastAsia="en-US"/>
        </w:rPr>
      </w:pPr>
    </w:p>
    <w:p w14:paraId="586881F6" w14:textId="77777777" w:rsidR="00B00BBB" w:rsidRDefault="00B00BBB" w:rsidP="00C470A9">
      <w:pPr>
        <w:rPr>
          <w:rFonts w:eastAsia="Calibri"/>
          <w:sz w:val="22"/>
          <w:szCs w:val="22"/>
          <w:lang w:eastAsia="en-US"/>
        </w:rPr>
      </w:pPr>
    </w:p>
    <w:p w14:paraId="30F12063" w14:textId="77777777" w:rsidR="00B00BBB" w:rsidRDefault="00B00BBB" w:rsidP="00C470A9">
      <w:pPr>
        <w:rPr>
          <w:rFonts w:eastAsia="Calibri"/>
          <w:sz w:val="22"/>
          <w:szCs w:val="22"/>
          <w:lang w:eastAsia="en-US"/>
        </w:rPr>
      </w:pPr>
    </w:p>
    <w:p w14:paraId="6203E50F" w14:textId="77777777" w:rsidR="00B00BBB" w:rsidRDefault="00B00BBB" w:rsidP="00C470A9">
      <w:pPr>
        <w:rPr>
          <w:rFonts w:eastAsia="Calibri"/>
          <w:sz w:val="22"/>
          <w:szCs w:val="22"/>
          <w:lang w:eastAsia="en-US"/>
        </w:rPr>
      </w:pPr>
    </w:p>
    <w:p w14:paraId="5F01F830" w14:textId="77777777" w:rsidR="00B00BBB" w:rsidRDefault="00B00BBB" w:rsidP="00C470A9">
      <w:pPr>
        <w:rPr>
          <w:rFonts w:eastAsia="Calibri"/>
          <w:sz w:val="22"/>
          <w:szCs w:val="22"/>
          <w:lang w:eastAsia="en-US"/>
        </w:rPr>
      </w:pPr>
    </w:p>
    <w:p w14:paraId="03DDFBD8" w14:textId="77777777" w:rsidR="00B00BBB" w:rsidRDefault="00B00BBB" w:rsidP="00C470A9">
      <w:pPr>
        <w:rPr>
          <w:rFonts w:eastAsia="Calibri"/>
          <w:sz w:val="22"/>
          <w:szCs w:val="22"/>
          <w:lang w:eastAsia="en-US"/>
        </w:rPr>
      </w:pPr>
    </w:p>
    <w:p w14:paraId="595F303A" w14:textId="77777777" w:rsidR="00B00BBB" w:rsidRDefault="00B00BBB" w:rsidP="00C470A9">
      <w:pPr>
        <w:rPr>
          <w:rFonts w:eastAsia="Calibri"/>
          <w:sz w:val="22"/>
          <w:szCs w:val="22"/>
          <w:lang w:eastAsia="en-US"/>
        </w:rPr>
      </w:pPr>
    </w:p>
    <w:p w14:paraId="6758068E" w14:textId="77777777" w:rsidR="00B00BBB" w:rsidRDefault="00B00BBB" w:rsidP="00C470A9">
      <w:pPr>
        <w:rPr>
          <w:rFonts w:eastAsia="Calibri"/>
          <w:sz w:val="22"/>
          <w:szCs w:val="22"/>
          <w:lang w:eastAsia="en-US"/>
        </w:rPr>
      </w:pPr>
    </w:p>
    <w:p w14:paraId="2512F652" w14:textId="77777777" w:rsidR="00B00BBB" w:rsidRDefault="00B00BBB"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69E28E51" w14:textId="77777777" w:rsidR="00304D63" w:rsidRDefault="00304D63" w:rsidP="00C470A9">
      <w:pPr>
        <w:rPr>
          <w:rFonts w:eastAsia="Calibri"/>
          <w:sz w:val="22"/>
          <w:szCs w:val="22"/>
          <w:lang w:eastAsia="en-US"/>
        </w:rPr>
      </w:pPr>
    </w:p>
    <w:p w14:paraId="01C959DC" w14:textId="77777777" w:rsidR="00304D63" w:rsidRDefault="00304D63" w:rsidP="00C470A9">
      <w:pPr>
        <w:rPr>
          <w:rFonts w:eastAsia="Calibri"/>
          <w:sz w:val="22"/>
          <w:szCs w:val="22"/>
          <w:lang w:eastAsia="en-US"/>
        </w:rPr>
      </w:pPr>
    </w:p>
    <w:p w14:paraId="3770D443" w14:textId="77777777" w:rsidR="00304D63" w:rsidRDefault="00304D63" w:rsidP="00C470A9">
      <w:pPr>
        <w:rPr>
          <w:rFonts w:eastAsia="Calibri"/>
          <w:sz w:val="22"/>
          <w:szCs w:val="22"/>
          <w:lang w:eastAsia="en-US"/>
        </w:rPr>
      </w:pPr>
    </w:p>
    <w:p w14:paraId="59961007" w14:textId="77777777" w:rsidR="00304D63" w:rsidRDefault="00304D63" w:rsidP="00C470A9">
      <w:pPr>
        <w:rPr>
          <w:rFonts w:eastAsia="Calibri"/>
          <w:sz w:val="22"/>
          <w:szCs w:val="22"/>
          <w:lang w:eastAsia="en-US"/>
        </w:rPr>
      </w:pPr>
    </w:p>
    <w:p w14:paraId="10505AE1" w14:textId="77777777" w:rsidR="00304D63" w:rsidRDefault="00304D63" w:rsidP="00C470A9">
      <w:pPr>
        <w:rPr>
          <w:rFonts w:eastAsia="Calibri"/>
          <w:sz w:val="22"/>
          <w:szCs w:val="22"/>
          <w:lang w:eastAsia="en-US"/>
        </w:rPr>
      </w:pPr>
    </w:p>
    <w:p w14:paraId="284B0269" w14:textId="77777777" w:rsidR="00304D63" w:rsidRDefault="00304D63" w:rsidP="00C470A9">
      <w:pPr>
        <w:rPr>
          <w:rFonts w:eastAsia="Calibri"/>
          <w:sz w:val="22"/>
          <w:szCs w:val="22"/>
          <w:lang w:eastAsia="en-US"/>
        </w:rPr>
      </w:pPr>
    </w:p>
    <w:p w14:paraId="3148684B" w14:textId="77777777" w:rsidR="00304D63" w:rsidRDefault="00304D63" w:rsidP="00C470A9">
      <w:pPr>
        <w:rPr>
          <w:rFonts w:eastAsia="Calibri"/>
          <w:sz w:val="22"/>
          <w:szCs w:val="22"/>
          <w:lang w:eastAsia="en-US"/>
        </w:rPr>
      </w:pPr>
    </w:p>
    <w:p w14:paraId="42B9F93C" w14:textId="77777777" w:rsidR="00304D63" w:rsidRDefault="00304D63" w:rsidP="00C470A9">
      <w:pPr>
        <w:rPr>
          <w:rFonts w:eastAsia="Calibri"/>
          <w:sz w:val="22"/>
          <w:szCs w:val="22"/>
          <w:lang w:eastAsia="en-US"/>
        </w:rPr>
      </w:pPr>
    </w:p>
    <w:p w14:paraId="2A224082" w14:textId="77777777" w:rsidR="00304D63" w:rsidRDefault="00304D63" w:rsidP="00C470A9">
      <w:pPr>
        <w:rPr>
          <w:rFonts w:eastAsia="Calibri"/>
          <w:sz w:val="22"/>
          <w:szCs w:val="22"/>
          <w:lang w:eastAsia="en-US"/>
        </w:rPr>
      </w:pPr>
    </w:p>
    <w:p w14:paraId="5B43BBE3" w14:textId="77777777" w:rsidR="00304D63" w:rsidRDefault="00304D63" w:rsidP="00C470A9">
      <w:pPr>
        <w:rPr>
          <w:rFonts w:eastAsia="Calibri"/>
          <w:sz w:val="22"/>
          <w:szCs w:val="22"/>
          <w:lang w:eastAsia="en-US"/>
        </w:rPr>
      </w:pPr>
    </w:p>
    <w:p w14:paraId="224F4CF8" w14:textId="77777777" w:rsidR="00304D63" w:rsidRDefault="00304D63" w:rsidP="00C470A9">
      <w:pPr>
        <w:rPr>
          <w:rFonts w:eastAsia="Calibri"/>
          <w:sz w:val="22"/>
          <w:szCs w:val="22"/>
          <w:lang w:eastAsia="en-US"/>
        </w:rPr>
      </w:pPr>
    </w:p>
    <w:p w14:paraId="16B6B650" w14:textId="77777777" w:rsidR="00304D63" w:rsidRDefault="00304D63" w:rsidP="00C470A9">
      <w:pPr>
        <w:rPr>
          <w:rFonts w:eastAsia="Calibri"/>
          <w:sz w:val="22"/>
          <w:szCs w:val="22"/>
          <w:lang w:eastAsia="en-US"/>
        </w:rPr>
      </w:pPr>
    </w:p>
    <w:p w14:paraId="20C758E9" w14:textId="77777777" w:rsidR="00304D63" w:rsidRDefault="00304D63" w:rsidP="00C470A9">
      <w:pPr>
        <w:rPr>
          <w:rFonts w:eastAsia="Calibri"/>
          <w:sz w:val="22"/>
          <w:szCs w:val="22"/>
          <w:lang w:eastAsia="en-US"/>
        </w:rPr>
      </w:pPr>
    </w:p>
    <w:p w14:paraId="20954F2C" w14:textId="77777777" w:rsidR="00304D63" w:rsidRDefault="00304D63" w:rsidP="00C470A9">
      <w:pPr>
        <w:rPr>
          <w:rFonts w:eastAsia="Calibri"/>
          <w:sz w:val="22"/>
          <w:szCs w:val="22"/>
          <w:lang w:eastAsia="en-US"/>
        </w:rPr>
      </w:pPr>
    </w:p>
    <w:p w14:paraId="1362DD6B" w14:textId="77777777" w:rsidR="00304D63" w:rsidRDefault="00304D63" w:rsidP="00C470A9">
      <w:pPr>
        <w:rPr>
          <w:rFonts w:eastAsia="Calibri"/>
          <w:sz w:val="22"/>
          <w:szCs w:val="22"/>
          <w:lang w:eastAsia="en-US"/>
        </w:rPr>
      </w:pPr>
    </w:p>
    <w:p w14:paraId="503E0462" w14:textId="77777777" w:rsidR="00304D63" w:rsidRDefault="00304D63" w:rsidP="00C470A9">
      <w:pPr>
        <w:rPr>
          <w:rFonts w:eastAsia="Calibri"/>
          <w:sz w:val="22"/>
          <w:szCs w:val="22"/>
          <w:lang w:eastAsia="en-US"/>
        </w:rPr>
      </w:pPr>
    </w:p>
    <w:p w14:paraId="52A34C7F" w14:textId="77777777" w:rsidR="00304D63" w:rsidRDefault="00304D63" w:rsidP="00C470A9">
      <w:pPr>
        <w:rPr>
          <w:rFonts w:eastAsia="Calibri"/>
          <w:sz w:val="22"/>
          <w:szCs w:val="22"/>
          <w:lang w:eastAsia="en-US"/>
        </w:rPr>
      </w:pPr>
    </w:p>
    <w:p w14:paraId="54D644A2" w14:textId="77777777" w:rsidR="00304D63" w:rsidRDefault="00304D63" w:rsidP="00C470A9">
      <w:pPr>
        <w:rPr>
          <w:rFonts w:eastAsia="Calibri"/>
          <w:sz w:val="22"/>
          <w:szCs w:val="22"/>
          <w:lang w:eastAsia="en-US"/>
        </w:rPr>
      </w:pPr>
    </w:p>
    <w:p w14:paraId="022CA37A" w14:textId="77777777" w:rsidR="00304D63" w:rsidRDefault="00304D63" w:rsidP="00C470A9">
      <w:pPr>
        <w:rPr>
          <w:rFonts w:eastAsia="Calibri"/>
          <w:sz w:val="22"/>
          <w:szCs w:val="22"/>
          <w:lang w:eastAsia="en-US"/>
        </w:rPr>
      </w:pPr>
    </w:p>
    <w:p w14:paraId="56537F4C" w14:textId="77777777" w:rsidR="00304D63" w:rsidRDefault="00304D63" w:rsidP="00C470A9">
      <w:pPr>
        <w:rPr>
          <w:rFonts w:eastAsia="Calibri"/>
          <w:sz w:val="22"/>
          <w:szCs w:val="22"/>
          <w:lang w:eastAsia="en-US"/>
        </w:rPr>
      </w:pPr>
    </w:p>
    <w:p w14:paraId="3C7ECC94" w14:textId="77777777" w:rsidR="00304D63" w:rsidRDefault="00304D63" w:rsidP="00C470A9">
      <w:pPr>
        <w:rPr>
          <w:rFonts w:eastAsia="Calibri"/>
          <w:sz w:val="22"/>
          <w:szCs w:val="22"/>
          <w:lang w:eastAsia="en-US"/>
        </w:rPr>
      </w:pPr>
    </w:p>
    <w:p w14:paraId="7BE64DE6" w14:textId="77777777" w:rsidR="00304D63" w:rsidRDefault="00304D63" w:rsidP="00C470A9">
      <w:pPr>
        <w:rPr>
          <w:rFonts w:eastAsia="Calibri"/>
          <w:sz w:val="22"/>
          <w:szCs w:val="22"/>
          <w:lang w:eastAsia="en-US"/>
        </w:rPr>
      </w:pPr>
    </w:p>
    <w:p w14:paraId="45BE16AE" w14:textId="77777777" w:rsidR="00304D63" w:rsidRDefault="00304D63" w:rsidP="00C470A9">
      <w:pPr>
        <w:rPr>
          <w:rFonts w:eastAsia="Calibri"/>
          <w:sz w:val="22"/>
          <w:szCs w:val="22"/>
          <w:lang w:eastAsia="en-US"/>
        </w:rPr>
      </w:pPr>
    </w:p>
    <w:p w14:paraId="3FF85940" w14:textId="77777777" w:rsidR="00304D63" w:rsidRDefault="00304D63" w:rsidP="00C470A9">
      <w:pPr>
        <w:rPr>
          <w:rFonts w:eastAsia="Calibri"/>
          <w:sz w:val="22"/>
          <w:szCs w:val="22"/>
          <w:lang w:eastAsia="en-US"/>
        </w:rPr>
      </w:pPr>
    </w:p>
    <w:p w14:paraId="42820896" w14:textId="77777777" w:rsidR="00304D63" w:rsidRDefault="00304D63" w:rsidP="00C470A9">
      <w:pPr>
        <w:rPr>
          <w:rFonts w:eastAsia="Calibri"/>
          <w:sz w:val="22"/>
          <w:szCs w:val="22"/>
          <w:lang w:eastAsia="en-US"/>
        </w:rPr>
      </w:pPr>
    </w:p>
    <w:p w14:paraId="663EF0D9" w14:textId="77777777" w:rsidR="00304D63" w:rsidRDefault="00304D63" w:rsidP="00C470A9">
      <w:pPr>
        <w:rPr>
          <w:rFonts w:eastAsia="Calibri"/>
          <w:sz w:val="22"/>
          <w:szCs w:val="22"/>
          <w:lang w:eastAsia="en-US"/>
        </w:rPr>
      </w:pPr>
    </w:p>
    <w:p w14:paraId="0A8B5079" w14:textId="77777777" w:rsidR="00304D63" w:rsidRDefault="00304D63" w:rsidP="00C470A9">
      <w:pPr>
        <w:rPr>
          <w:rFonts w:eastAsia="Calibri"/>
          <w:sz w:val="22"/>
          <w:szCs w:val="22"/>
          <w:lang w:eastAsia="en-US"/>
        </w:rPr>
      </w:pPr>
    </w:p>
    <w:p w14:paraId="58EDD5AE" w14:textId="77777777" w:rsidR="00304D63" w:rsidRDefault="00304D63" w:rsidP="00C470A9">
      <w:pPr>
        <w:rPr>
          <w:rFonts w:eastAsia="Calibri"/>
          <w:sz w:val="22"/>
          <w:szCs w:val="22"/>
          <w:lang w:eastAsia="en-US"/>
        </w:rPr>
      </w:pPr>
    </w:p>
    <w:p w14:paraId="127B049D" w14:textId="77777777" w:rsidR="00304D63" w:rsidRDefault="00304D63" w:rsidP="00C470A9">
      <w:pPr>
        <w:rPr>
          <w:rFonts w:eastAsia="Calibri"/>
          <w:sz w:val="22"/>
          <w:szCs w:val="22"/>
          <w:lang w:eastAsia="en-US"/>
        </w:rPr>
      </w:pPr>
    </w:p>
    <w:p w14:paraId="2B2A29D6" w14:textId="77777777" w:rsidR="00304D63" w:rsidRDefault="00304D63" w:rsidP="00C470A9">
      <w:pPr>
        <w:rPr>
          <w:rFonts w:eastAsia="Calibri"/>
          <w:sz w:val="22"/>
          <w:szCs w:val="22"/>
          <w:lang w:eastAsia="en-US"/>
        </w:rPr>
      </w:pPr>
    </w:p>
    <w:p w14:paraId="400C1D6E" w14:textId="77777777" w:rsidR="00304D63" w:rsidRDefault="00304D63" w:rsidP="00C470A9">
      <w:pPr>
        <w:rPr>
          <w:rFonts w:eastAsia="Calibri"/>
          <w:sz w:val="22"/>
          <w:szCs w:val="22"/>
          <w:lang w:eastAsia="en-US"/>
        </w:rPr>
      </w:pPr>
    </w:p>
    <w:p w14:paraId="3FBB8C68" w14:textId="77777777" w:rsidR="00EE7001" w:rsidRDefault="00EE7001" w:rsidP="00C470A9">
      <w:pPr>
        <w:rPr>
          <w:rFonts w:eastAsia="Calibri"/>
          <w:sz w:val="22"/>
          <w:szCs w:val="22"/>
          <w:lang w:eastAsia="en-US"/>
        </w:rPr>
      </w:pPr>
    </w:p>
    <w:p w14:paraId="31EEBE08" w14:textId="77777777" w:rsidR="00EC7EE1" w:rsidRDefault="00EC7EE1" w:rsidP="00C470A9">
      <w:pPr>
        <w:rPr>
          <w:rFonts w:eastAsia="Calibri"/>
          <w:sz w:val="22"/>
          <w:szCs w:val="22"/>
          <w:lang w:eastAsia="en-US"/>
        </w:rPr>
      </w:pPr>
      <w:bookmarkStart w:id="38" w:name="_GoBack"/>
      <w:bookmarkEnd w:id="38"/>
    </w:p>
    <w:p w14:paraId="22E3152D" w14:textId="77777777" w:rsidR="00EE7001" w:rsidRDefault="00EE7001" w:rsidP="00C470A9">
      <w:pPr>
        <w:rPr>
          <w:rFonts w:eastAsia="Calibri"/>
          <w:sz w:val="22"/>
          <w:szCs w:val="22"/>
          <w:lang w:eastAsia="en-US"/>
        </w:rPr>
      </w:pPr>
    </w:p>
    <w:p w14:paraId="22F885B9" w14:textId="764DBCC4"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sidR="00D1412E">
        <w:rPr>
          <w:rFonts w:eastAsia="Calibri"/>
          <w:sz w:val="22"/>
          <w:szCs w:val="22"/>
          <w:lang w:eastAsia="en-US"/>
        </w:rPr>
        <w:t>1</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4C89BC75"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D1412E">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16578" w14:textId="77777777" w:rsidR="00177653" w:rsidRDefault="00177653" w:rsidP="00020E44">
      <w:r>
        <w:separator/>
      </w:r>
    </w:p>
  </w:endnote>
  <w:endnote w:type="continuationSeparator" w:id="0">
    <w:p w14:paraId="4D06809C" w14:textId="77777777" w:rsidR="00177653" w:rsidRDefault="0017765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945B1" w14:textId="77777777" w:rsidR="00177653" w:rsidRDefault="00177653" w:rsidP="00020E44">
      <w:r>
        <w:separator/>
      </w:r>
    </w:p>
  </w:footnote>
  <w:footnote w:type="continuationSeparator" w:id="0">
    <w:p w14:paraId="01C5341F" w14:textId="77777777" w:rsidR="00177653" w:rsidRDefault="00177653"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8"/>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361B"/>
    <w:rsid w:val="00013DED"/>
    <w:rsid w:val="00020E44"/>
    <w:rsid w:val="00036FC3"/>
    <w:rsid w:val="0004659E"/>
    <w:rsid w:val="000538C1"/>
    <w:rsid w:val="00056140"/>
    <w:rsid w:val="000876AA"/>
    <w:rsid w:val="000A54DF"/>
    <w:rsid w:val="000B076F"/>
    <w:rsid w:val="000B6847"/>
    <w:rsid w:val="000C3648"/>
    <w:rsid w:val="000C56F8"/>
    <w:rsid w:val="000C69C1"/>
    <w:rsid w:val="000D732A"/>
    <w:rsid w:val="000D7ECC"/>
    <w:rsid w:val="0010351D"/>
    <w:rsid w:val="001037EA"/>
    <w:rsid w:val="00116AEB"/>
    <w:rsid w:val="0012350A"/>
    <w:rsid w:val="00125202"/>
    <w:rsid w:val="00135C07"/>
    <w:rsid w:val="00147EBE"/>
    <w:rsid w:val="00151EEF"/>
    <w:rsid w:val="00152B24"/>
    <w:rsid w:val="0015339A"/>
    <w:rsid w:val="00177653"/>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3900"/>
    <w:rsid w:val="00304D63"/>
    <w:rsid w:val="00304D7B"/>
    <w:rsid w:val="00314375"/>
    <w:rsid w:val="0031724B"/>
    <w:rsid w:val="003214BC"/>
    <w:rsid w:val="00323441"/>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11FA"/>
    <w:rsid w:val="005661B6"/>
    <w:rsid w:val="0057026F"/>
    <w:rsid w:val="0057403D"/>
    <w:rsid w:val="00575FB5"/>
    <w:rsid w:val="005859DB"/>
    <w:rsid w:val="00590D01"/>
    <w:rsid w:val="00594B5E"/>
    <w:rsid w:val="005A057C"/>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596"/>
    <w:rsid w:val="006B3969"/>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60945"/>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54292"/>
    <w:rsid w:val="00863558"/>
    <w:rsid w:val="008661BC"/>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0AD8"/>
    <w:rsid w:val="00A66290"/>
    <w:rsid w:val="00A81EAC"/>
    <w:rsid w:val="00A86DB7"/>
    <w:rsid w:val="00A90363"/>
    <w:rsid w:val="00A90ED6"/>
    <w:rsid w:val="00AA082E"/>
    <w:rsid w:val="00AB58AA"/>
    <w:rsid w:val="00AD0A58"/>
    <w:rsid w:val="00AE5355"/>
    <w:rsid w:val="00AF007C"/>
    <w:rsid w:val="00B00BBB"/>
    <w:rsid w:val="00B10D1B"/>
    <w:rsid w:val="00B11FCC"/>
    <w:rsid w:val="00B12DC6"/>
    <w:rsid w:val="00B167C6"/>
    <w:rsid w:val="00B17B88"/>
    <w:rsid w:val="00B17ED6"/>
    <w:rsid w:val="00B22DB1"/>
    <w:rsid w:val="00B22F96"/>
    <w:rsid w:val="00B30F50"/>
    <w:rsid w:val="00B37126"/>
    <w:rsid w:val="00B4093F"/>
    <w:rsid w:val="00B5095D"/>
    <w:rsid w:val="00B529AE"/>
    <w:rsid w:val="00B55A9C"/>
    <w:rsid w:val="00B61CE1"/>
    <w:rsid w:val="00BA5672"/>
    <w:rsid w:val="00BB3EBB"/>
    <w:rsid w:val="00BB5312"/>
    <w:rsid w:val="00BD76A1"/>
    <w:rsid w:val="00C03E57"/>
    <w:rsid w:val="00C1100A"/>
    <w:rsid w:val="00C20A1C"/>
    <w:rsid w:val="00C470A9"/>
    <w:rsid w:val="00C51739"/>
    <w:rsid w:val="00C532CF"/>
    <w:rsid w:val="00C63384"/>
    <w:rsid w:val="00C6674A"/>
    <w:rsid w:val="00C73F8A"/>
    <w:rsid w:val="00C87EB5"/>
    <w:rsid w:val="00C952F6"/>
    <w:rsid w:val="00CC713D"/>
    <w:rsid w:val="00CC7647"/>
    <w:rsid w:val="00CD067D"/>
    <w:rsid w:val="00CD1ADA"/>
    <w:rsid w:val="00CE30E9"/>
    <w:rsid w:val="00CF587E"/>
    <w:rsid w:val="00D01B06"/>
    <w:rsid w:val="00D027CA"/>
    <w:rsid w:val="00D041D8"/>
    <w:rsid w:val="00D05DA9"/>
    <w:rsid w:val="00D1412E"/>
    <w:rsid w:val="00D17325"/>
    <w:rsid w:val="00D2029C"/>
    <w:rsid w:val="00D20C3B"/>
    <w:rsid w:val="00D256EF"/>
    <w:rsid w:val="00D327CA"/>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4291F"/>
    <w:rsid w:val="00E459D9"/>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C7EE1"/>
    <w:rsid w:val="00EE1A85"/>
    <w:rsid w:val="00EE4DC6"/>
    <w:rsid w:val="00EE7001"/>
    <w:rsid w:val="00F0556A"/>
    <w:rsid w:val="00F07358"/>
    <w:rsid w:val="00F30816"/>
    <w:rsid w:val="00F30B43"/>
    <w:rsid w:val="00F340C8"/>
    <w:rsid w:val="00F37C85"/>
    <w:rsid w:val="00F459E5"/>
    <w:rsid w:val="00F501F6"/>
    <w:rsid w:val="00F60B4D"/>
    <w:rsid w:val="00F67B4B"/>
    <w:rsid w:val="00F7090E"/>
    <w:rsid w:val="00F73765"/>
    <w:rsid w:val="00F77E45"/>
    <w:rsid w:val="00F92BE1"/>
    <w:rsid w:val="00F93D66"/>
    <w:rsid w:val="00F944EE"/>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0708390">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38031292">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E324-8CEA-4049-BA35-D5997D8A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2025-02-05T10:43:00Z</dcterms:created>
  <dcterms:modified xsi:type="dcterms:W3CDTF">2025-02-05T10:43:00Z</dcterms:modified>
</cp:coreProperties>
</file>